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0CD1B" w14:textId="77777777" w:rsidR="00A74D02" w:rsidRPr="00FC5C1B" w:rsidRDefault="00A74D02" w:rsidP="00A74D02">
      <w:pPr>
        <w:rPr>
          <w:rFonts w:ascii="Arial" w:hAnsi="Arial" w:cs="Arial"/>
          <w:color w:val="003399"/>
          <w:szCs w:val="24"/>
        </w:rPr>
      </w:pPr>
    </w:p>
    <w:p w14:paraId="76F5FA3B" w14:textId="229D50E1" w:rsidR="00A74D02" w:rsidRPr="00FC5C1B" w:rsidRDefault="00A74D02" w:rsidP="00A74D02">
      <w:pPr>
        <w:rPr>
          <w:rFonts w:ascii="Arial" w:hAnsi="Arial" w:cs="Arial"/>
          <w:color w:val="003399"/>
          <w:szCs w:val="24"/>
        </w:rPr>
      </w:pPr>
    </w:p>
    <w:p w14:paraId="52B3BCF6" w14:textId="77777777" w:rsidR="00A74D02" w:rsidRPr="00FC5C1B" w:rsidRDefault="00A74D02" w:rsidP="00A74D02">
      <w:pPr>
        <w:rPr>
          <w:rFonts w:ascii="Arial" w:hAnsi="Arial" w:cs="Arial"/>
          <w:color w:val="003399"/>
          <w:szCs w:val="24"/>
        </w:rPr>
      </w:pPr>
    </w:p>
    <w:p w14:paraId="5465030E" w14:textId="77777777" w:rsidR="00A74D02" w:rsidRPr="00FC5C1B" w:rsidRDefault="00A74D02" w:rsidP="00A74D02">
      <w:pPr>
        <w:rPr>
          <w:rFonts w:ascii="Arial" w:hAnsi="Arial" w:cs="Arial"/>
          <w:color w:val="003399"/>
          <w:szCs w:val="24"/>
        </w:rPr>
      </w:pPr>
    </w:p>
    <w:p w14:paraId="42331A2F" w14:textId="77777777" w:rsidR="00A74D02" w:rsidRPr="00FC5C1B" w:rsidRDefault="00A74D02" w:rsidP="00F96D55">
      <w:pPr>
        <w:jc w:val="center"/>
        <w:rPr>
          <w:rFonts w:ascii="Arial" w:hAnsi="Arial" w:cs="Arial"/>
          <w:color w:val="003399"/>
          <w:szCs w:val="24"/>
        </w:rPr>
      </w:pPr>
    </w:p>
    <w:p w14:paraId="3D805EB5" w14:textId="2E5B2EDA" w:rsidR="00A74D02" w:rsidRPr="00F96D55" w:rsidRDefault="00F96D55" w:rsidP="00F96D55">
      <w:pPr>
        <w:jc w:val="center"/>
        <w:rPr>
          <w:rFonts w:ascii="Arial" w:hAnsi="Arial" w:cs="Arial"/>
          <w:color w:val="FF0000"/>
          <w:szCs w:val="24"/>
        </w:rPr>
      </w:pPr>
      <w:r>
        <w:rPr>
          <w:noProof/>
        </w:rPr>
        <w:drawing>
          <wp:inline distT="0" distB="0" distL="0" distR="0" wp14:anchorId="7B211CD6" wp14:editId="4EAC753F">
            <wp:extent cx="2057399" cy="2238375"/>
            <wp:effectExtent l="0" t="0" r="635" b="0"/>
            <wp:docPr id="1" name="Picture 1" descr="C:\Users\rachel\Downloads\IMG-202503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ownloads\IMG-20250314-WA0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6488" cy="2237384"/>
                    </a:xfrm>
                    <a:prstGeom prst="rect">
                      <a:avLst/>
                    </a:prstGeom>
                    <a:noFill/>
                    <a:ln>
                      <a:noFill/>
                    </a:ln>
                  </pic:spPr>
                </pic:pic>
              </a:graphicData>
            </a:graphic>
          </wp:inline>
        </w:drawing>
      </w:r>
    </w:p>
    <w:p w14:paraId="00BE133C" w14:textId="77777777" w:rsidR="00A74D02" w:rsidRPr="00FC5C1B" w:rsidRDefault="00A74D02" w:rsidP="00A74D02">
      <w:pPr>
        <w:rPr>
          <w:rFonts w:ascii="Arial" w:hAnsi="Arial" w:cs="Arial"/>
          <w:color w:val="003399"/>
          <w:szCs w:val="24"/>
        </w:rPr>
      </w:pPr>
    </w:p>
    <w:p w14:paraId="16F4913B" w14:textId="77777777" w:rsidR="00A74D02" w:rsidRPr="00FC5C1B" w:rsidRDefault="00A74D02" w:rsidP="00A74D02">
      <w:pPr>
        <w:rPr>
          <w:rFonts w:ascii="Arial" w:hAnsi="Arial" w:cs="Arial"/>
          <w:color w:val="003399"/>
          <w:szCs w:val="24"/>
        </w:rPr>
      </w:pPr>
    </w:p>
    <w:p w14:paraId="3F745342" w14:textId="77777777" w:rsidR="00A74D02" w:rsidRPr="00FC5C1B" w:rsidRDefault="00A74D02" w:rsidP="00A74D02">
      <w:pPr>
        <w:rPr>
          <w:rFonts w:ascii="Arial" w:hAnsi="Arial" w:cs="Arial"/>
          <w:color w:val="003399"/>
          <w:szCs w:val="24"/>
        </w:rPr>
      </w:pPr>
    </w:p>
    <w:p w14:paraId="7550AE17" w14:textId="77777777" w:rsidR="00A74D02" w:rsidRPr="00FC5C1B" w:rsidRDefault="00AA4154" w:rsidP="00A74D02">
      <w:pPr>
        <w:spacing w:line="276" w:lineRule="auto"/>
        <w:rPr>
          <w:rFonts w:ascii="Arial" w:hAnsi="Arial" w:cs="Arial"/>
          <w:b/>
          <w:color w:val="000000" w:themeColor="text1"/>
          <w:sz w:val="72"/>
          <w:szCs w:val="72"/>
        </w:rPr>
      </w:pPr>
      <w:r w:rsidRPr="00FC5C1B">
        <w:rPr>
          <w:rFonts w:ascii="Arial" w:hAnsi="Arial" w:cs="Arial"/>
          <w:b/>
          <w:color w:val="000000" w:themeColor="text1"/>
          <w:sz w:val="72"/>
          <w:szCs w:val="72"/>
        </w:rPr>
        <w:t>Reasonable Adjustment and Special Consideration</w:t>
      </w:r>
      <w:r w:rsidR="00A74D02" w:rsidRPr="00FC5C1B">
        <w:rPr>
          <w:rFonts w:ascii="Arial" w:hAnsi="Arial" w:cs="Arial"/>
          <w:b/>
          <w:color w:val="000000" w:themeColor="text1"/>
          <w:sz w:val="72"/>
          <w:szCs w:val="72"/>
        </w:rPr>
        <w:t xml:space="preserve"> Policy</w:t>
      </w:r>
    </w:p>
    <w:p w14:paraId="6FD53774" w14:textId="2684FF45" w:rsidR="00A74D02" w:rsidRPr="00F96D55" w:rsidRDefault="002E135E" w:rsidP="00F96D55">
      <w:pPr>
        <w:rPr>
          <w:rFonts w:ascii="Arial" w:hAnsi="Arial" w:cs="Arial"/>
          <w:color w:val="FF0000"/>
          <w:sz w:val="72"/>
          <w:szCs w:val="72"/>
        </w:rPr>
      </w:pPr>
      <w:r>
        <w:rPr>
          <w:rFonts w:ascii="Arial" w:hAnsi="Arial" w:cs="Arial"/>
          <w:color w:val="FF0000"/>
          <w:sz w:val="72"/>
          <w:szCs w:val="72"/>
        </w:rPr>
        <w:t>2025/26</w:t>
      </w:r>
    </w:p>
    <w:p w14:paraId="61BD5A7E" w14:textId="77777777" w:rsidR="00A74D02" w:rsidRPr="00FC5C1B" w:rsidRDefault="00A74D02" w:rsidP="00A74D02">
      <w:pPr>
        <w:autoSpaceDE w:val="0"/>
        <w:autoSpaceDN w:val="0"/>
        <w:adjustRightInd w:val="0"/>
        <w:spacing w:line="276" w:lineRule="auto"/>
        <w:rPr>
          <w:rFonts w:ascii="Arial" w:hAnsi="Arial" w:cs="Arial"/>
          <w:szCs w:val="24"/>
        </w:rPr>
      </w:pPr>
    </w:p>
    <w:p w14:paraId="38458FA1" w14:textId="77777777" w:rsidR="00A74D02" w:rsidRPr="00FC5C1B" w:rsidRDefault="00A74D02" w:rsidP="00A74D02">
      <w:pPr>
        <w:autoSpaceDE w:val="0"/>
        <w:autoSpaceDN w:val="0"/>
        <w:adjustRightInd w:val="0"/>
        <w:spacing w:line="276" w:lineRule="auto"/>
        <w:rPr>
          <w:rFonts w:ascii="Arial" w:hAnsi="Arial" w:cs="Arial"/>
          <w:szCs w:val="24"/>
        </w:rPr>
      </w:pPr>
    </w:p>
    <w:p w14:paraId="5FA3F6FE" w14:textId="77777777" w:rsidR="00A74D02" w:rsidRPr="00FC5C1B" w:rsidRDefault="00A74D02" w:rsidP="00A74D02">
      <w:pPr>
        <w:autoSpaceDE w:val="0"/>
        <w:autoSpaceDN w:val="0"/>
        <w:adjustRightInd w:val="0"/>
        <w:spacing w:line="276" w:lineRule="auto"/>
        <w:rPr>
          <w:rFonts w:ascii="Arial" w:hAnsi="Arial" w:cs="Arial"/>
          <w:szCs w:val="24"/>
        </w:rPr>
      </w:pPr>
    </w:p>
    <w:p w14:paraId="30475081" w14:textId="77777777" w:rsidR="00A74D02" w:rsidRPr="00FC5C1B" w:rsidRDefault="00A74D02" w:rsidP="00A74D02">
      <w:pPr>
        <w:autoSpaceDE w:val="0"/>
        <w:autoSpaceDN w:val="0"/>
        <w:adjustRightInd w:val="0"/>
        <w:spacing w:line="276" w:lineRule="auto"/>
        <w:rPr>
          <w:rFonts w:ascii="Arial" w:hAnsi="Arial" w:cs="Arial"/>
          <w:szCs w:val="24"/>
        </w:rPr>
      </w:pPr>
    </w:p>
    <w:tbl>
      <w:tblPr>
        <w:tblpPr w:leftFromText="180" w:rightFromText="180" w:vertAnchor="text" w:tblpY="191"/>
        <w:tblW w:w="923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5896"/>
      </w:tblGrid>
      <w:tr w:rsidR="00F96D55" w:rsidRPr="00FC5C1B" w14:paraId="4A53E81A" w14:textId="77777777" w:rsidTr="00F96D55">
        <w:trPr>
          <w:trHeight w:val="129"/>
        </w:trPr>
        <w:tc>
          <w:tcPr>
            <w:tcW w:w="3340" w:type="dxa"/>
            <w:tcBorders>
              <w:top w:val="single" w:sz="8" w:space="0" w:color="000000"/>
              <w:bottom w:val="single" w:sz="8" w:space="0" w:color="000000"/>
              <w:right w:val="single" w:sz="8" w:space="0" w:color="000000"/>
            </w:tcBorders>
          </w:tcPr>
          <w:p w14:paraId="2C21D85B" w14:textId="77777777" w:rsidR="00F96D55" w:rsidRPr="00FC5C1B" w:rsidRDefault="00F96D55" w:rsidP="00F96D55">
            <w:pPr>
              <w:pStyle w:val="Default"/>
              <w:rPr>
                <w:rFonts w:ascii="Arial" w:hAnsi="Arial" w:cs="Arial"/>
                <w:b/>
                <w:bCs/>
              </w:rPr>
            </w:pPr>
            <w:r>
              <w:rPr>
                <w:rFonts w:ascii="Arial" w:hAnsi="Arial" w:cs="Arial"/>
                <w:b/>
                <w:bCs/>
              </w:rPr>
              <w:t>Centre Name</w:t>
            </w:r>
          </w:p>
        </w:tc>
        <w:tc>
          <w:tcPr>
            <w:tcW w:w="5896" w:type="dxa"/>
            <w:tcBorders>
              <w:top w:val="single" w:sz="8" w:space="0" w:color="000000"/>
              <w:left w:val="single" w:sz="8" w:space="0" w:color="000000"/>
              <w:bottom w:val="single" w:sz="8" w:space="0" w:color="000000"/>
            </w:tcBorders>
          </w:tcPr>
          <w:p w14:paraId="2975F892" w14:textId="77777777" w:rsidR="00F96D55" w:rsidRDefault="00F96D55" w:rsidP="00F96D55">
            <w:pPr>
              <w:pStyle w:val="Default"/>
              <w:rPr>
                <w:rFonts w:ascii="Arial" w:hAnsi="Arial" w:cs="Arial"/>
              </w:rPr>
            </w:pPr>
          </w:p>
          <w:p w14:paraId="2DCDC6E4" w14:textId="31954967" w:rsidR="00F96D55" w:rsidRPr="00FC5C1B" w:rsidRDefault="00F96D55" w:rsidP="00F96D55">
            <w:pPr>
              <w:pStyle w:val="Default"/>
              <w:rPr>
                <w:rFonts w:ascii="Arial" w:hAnsi="Arial" w:cs="Arial"/>
              </w:rPr>
            </w:pPr>
            <w:r>
              <w:rPr>
                <w:rFonts w:ascii="Arial" w:hAnsi="Arial" w:cs="Arial"/>
              </w:rPr>
              <w:t>Larches Sports and Education Centre (LSEC)</w:t>
            </w:r>
          </w:p>
        </w:tc>
      </w:tr>
      <w:tr w:rsidR="00F96D55" w:rsidRPr="00FC5C1B" w14:paraId="21C99A47" w14:textId="77777777" w:rsidTr="00F96D55">
        <w:trPr>
          <w:trHeight w:val="129"/>
        </w:trPr>
        <w:tc>
          <w:tcPr>
            <w:tcW w:w="3340" w:type="dxa"/>
            <w:tcBorders>
              <w:top w:val="single" w:sz="8" w:space="0" w:color="000000"/>
              <w:bottom w:val="single" w:sz="8" w:space="0" w:color="000000"/>
              <w:right w:val="single" w:sz="8" w:space="0" w:color="000000"/>
            </w:tcBorders>
          </w:tcPr>
          <w:p w14:paraId="0FFC0E08" w14:textId="77777777" w:rsidR="00F96D55" w:rsidRPr="00FC5C1B" w:rsidRDefault="00F96D55" w:rsidP="00F96D55">
            <w:pPr>
              <w:pStyle w:val="Default"/>
              <w:rPr>
                <w:rFonts w:ascii="Arial" w:hAnsi="Arial" w:cs="Arial"/>
              </w:rPr>
            </w:pPr>
            <w:r w:rsidRPr="00FC5C1B">
              <w:rPr>
                <w:rFonts w:ascii="Arial" w:hAnsi="Arial" w:cs="Arial"/>
                <w:b/>
                <w:bCs/>
              </w:rPr>
              <w:t xml:space="preserve">Approved/Reviewed by </w:t>
            </w:r>
          </w:p>
        </w:tc>
        <w:tc>
          <w:tcPr>
            <w:tcW w:w="5896" w:type="dxa"/>
            <w:tcBorders>
              <w:top w:val="single" w:sz="8" w:space="0" w:color="000000"/>
              <w:left w:val="single" w:sz="8" w:space="0" w:color="000000"/>
              <w:bottom w:val="single" w:sz="8" w:space="0" w:color="000000"/>
            </w:tcBorders>
          </w:tcPr>
          <w:p w14:paraId="53B3018D" w14:textId="77777777" w:rsidR="00F96D55" w:rsidRDefault="00F96D55" w:rsidP="00F96D55">
            <w:pPr>
              <w:pStyle w:val="Default"/>
              <w:rPr>
                <w:rFonts w:ascii="Arial" w:hAnsi="Arial" w:cs="Arial"/>
              </w:rPr>
            </w:pPr>
          </w:p>
          <w:p w14:paraId="154F645A" w14:textId="25B87CB7" w:rsidR="00F96D55" w:rsidRPr="00FC5C1B" w:rsidRDefault="00F96D55" w:rsidP="00F96D55">
            <w:pPr>
              <w:pStyle w:val="Default"/>
              <w:rPr>
                <w:rFonts w:ascii="Arial" w:hAnsi="Arial" w:cs="Arial"/>
              </w:rPr>
            </w:pPr>
            <w:r>
              <w:rPr>
                <w:rFonts w:ascii="Arial" w:hAnsi="Arial" w:cs="Arial"/>
              </w:rPr>
              <w:t>Directors of LSEC</w:t>
            </w:r>
          </w:p>
        </w:tc>
      </w:tr>
      <w:tr w:rsidR="00F96D55" w:rsidRPr="00FC5C1B" w14:paraId="28DF187A" w14:textId="77777777" w:rsidTr="00F96D55">
        <w:trPr>
          <w:trHeight w:val="129"/>
        </w:trPr>
        <w:tc>
          <w:tcPr>
            <w:tcW w:w="3340" w:type="dxa"/>
            <w:tcBorders>
              <w:top w:val="single" w:sz="8" w:space="0" w:color="000000"/>
              <w:bottom w:val="single" w:sz="8" w:space="0" w:color="000000"/>
              <w:right w:val="single" w:sz="8" w:space="0" w:color="000000"/>
            </w:tcBorders>
          </w:tcPr>
          <w:p w14:paraId="4E305781" w14:textId="77777777" w:rsidR="00F96D55" w:rsidRPr="00FC5C1B" w:rsidRDefault="00F96D55" w:rsidP="00F96D55">
            <w:pPr>
              <w:pStyle w:val="Default"/>
              <w:rPr>
                <w:rFonts w:ascii="Arial" w:hAnsi="Arial" w:cs="Arial"/>
              </w:rPr>
            </w:pPr>
            <w:r w:rsidRPr="00FC5C1B">
              <w:rPr>
                <w:rFonts w:ascii="Arial" w:hAnsi="Arial" w:cs="Arial"/>
                <w:b/>
                <w:bCs/>
              </w:rPr>
              <w:t xml:space="preserve">Last Review Date </w:t>
            </w:r>
          </w:p>
        </w:tc>
        <w:tc>
          <w:tcPr>
            <w:tcW w:w="5896" w:type="dxa"/>
            <w:tcBorders>
              <w:top w:val="single" w:sz="8" w:space="0" w:color="000000"/>
              <w:left w:val="single" w:sz="8" w:space="0" w:color="000000"/>
              <w:bottom w:val="single" w:sz="8" w:space="0" w:color="000000"/>
            </w:tcBorders>
          </w:tcPr>
          <w:p w14:paraId="2F99D52B" w14:textId="77777777" w:rsidR="00F96D55" w:rsidRPr="00F96D55" w:rsidRDefault="00F96D55" w:rsidP="00F96D55">
            <w:pPr>
              <w:pStyle w:val="Default"/>
              <w:rPr>
                <w:rFonts w:ascii="Arial" w:hAnsi="Arial" w:cs="Arial"/>
              </w:rPr>
            </w:pPr>
          </w:p>
          <w:p w14:paraId="3B939C47" w14:textId="5F3ECB05" w:rsidR="00F96D55" w:rsidRPr="00F96D55" w:rsidRDefault="002E135E" w:rsidP="00F96D55">
            <w:pPr>
              <w:pStyle w:val="Default"/>
              <w:rPr>
                <w:rFonts w:ascii="Arial" w:hAnsi="Arial" w:cs="Arial"/>
              </w:rPr>
            </w:pPr>
            <w:r>
              <w:rPr>
                <w:rFonts w:ascii="Arial" w:hAnsi="Arial" w:cs="Arial"/>
              </w:rPr>
              <w:t>September 2025</w:t>
            </w:r>
          </w:p>
        </w:tc>
      </w:tr>
      <w:tr w:rsidR="00F96D55" w:rsidRPr="00FC5C1B" w14:paraId="0FA4D275" w14:textId="77777777" w:rsidTr="00F96D55">
        <w:trPr>
          <w:trHeight w:val="129"/>
        </w:trPr>
        <w:tc>
          <w:tcPr>
            <w:tcW w:w="3340" w:type="dxa"/>
            <w:tcBorders>
              <w:top w:val="single" w:sz="8" w:space="0" w:color="000000"/>
              <w:bottom w:val="single" w:sz="8" w:space="0" w:color="000000"/>
              <w:right w:val="single" w:sz="8" w:space="0" w:color="000000"/>
            </w:tcBorders>
          </w:tcPr>
          <w:p w14:paraId="11BABB24" w14:textId="77777777" w:rsidR="00F96D55" w:rsidRPr="00FC5C1B" w:rsidRDefault="00F96D55" w:rsidP="00F96D55">
            <w:pPr>
              <w:pStyle w:val="Default"/>
              <w:rPr>
                <w:rFonts w:ascii="Arial" w:hAnsi="Arial" w:cs="Arial"/>
                <w:b/>
                <w:bCs/>
              </w:rPr>
            </w:pPr>
            <w:r w:rsidRPr="00FC5C1B">
              <w:rPr>
                <w:rFonts w:ascii="Arial" w:hAnsi="Arial" w:cs="Arial"/>
                <w:b/>
                <w:bCs/>
              </w:rPr>
              <w:t>Date of Next Review</w:t>
            </w:r>
          </w:p>
        </w:tc>
        <w:tc>
          <w:tcPr>
            <w:tcW w:w="5896" w:type="dxa"/>
            <w:tcBorders>
              <w:top w:val="single" w:sz="8" w:space="0" w:color="000000"/>
              <w:left w:val="single" w:sz="8" w:space="0" w:color="000000"/>
              <w:bottom w:val="single" w:sz="8" w:space="0" w:color="000000"/>
            </w:tcBorders>
          </w:tcPr>
          <w:p w14:paraId="43AA1E1B" w14:textId="77777777" w:rsidR="00F96D55" w:rsidRPr="00F96D55" w:rsidRDefault="00F96D55" w:rsidP="00F96D55">
            <w:pPr>
              <w:pStyle w:val="Default"/>
              <w:rPr>
                <w:rFonts w:ascii="Arial" w:hAnsi="Arial" w:cs="Arial"/>
              </w:rPr>
            </w:pPr>
          </w:p>
          <w:p w14:paraId="7051DD54" w14:textId="57344A55" w:rsidR="00F96D55" w:rsidRPr="00F96D55" w:rsidRDefault="002E135E" w:rsidP="00F96D55">
            <w:pPr>
              <w:pStyle w:val="Default"/>
              <w:rPr>
                <w:rFonts w:ascii="Arial" w:hAnsi="Arial" w:cs="Arial"/>
              </w:rPr>
            </w:pPr>
            <w:r>
              <w:rPr>
                <w:rFonts w:ascii="Arial" w:hAnsi="Arial" w:cs="Arial"/>
              </w:rPr>
              <w:t>September 2026</w:t>
            </w:r>
          </w:p>
        </w:tc>
      </w:tr>
    </w:tbl>
    <w:p w14:paraId="3AE843B9" w14:textId="77777777" w:rsidR="00A74D02" w:rsidRDefault="00A74D02" w:rsidP="00A74D02">
      <w:pPr>
        <w:autoSpaceDE w:val="0"/>
        <w:autoSpaceDN w:val="0"/>
        <w:adjustRightInd w:val="0"/>
        <w:spacing w:line="276" w:lineRule="auto"/>
        <w:rPr>
          <w:rFonts w:ascii="Arial" w:hAnsi="Arial" w:cs="Arial"/>
          <w:szCs w:val="24"/>
        </w:rPr>
      </w:pPr>
    </w:p>
    <w:p w14:paraId="353262E1" w14:textId="77777777" w:rsidR="00FC5C1B" w:rsidRDefault="00FC5C1B" w:rsidP="00A74D02">
      <w:pPr>
        <w:autoSpaceDE w:val="0"/>
        <w:autoSpaceDN w:val="0"/>
        <w:adjustRightInd w:val="0"/>
        <w:spacing w:line="276" w:lineRule="auto"/>
        <w:rPr>
          <w:rFonts w:ascii="Arial" w:hAnsi="Arial" w:cs="Arial"/>
          <w:szCs w:val="24"/>
        </w:rPr>
      </w:pPr>
    </w:p>
    <w:p w14:paraId="690812B3" w14:textId="77777777" w:rsidR="00FC5C1B" w:rsidRDefault="00FC5C1B" w:rsidP="00A74D02">
      <w:pPr>
        <w:autoSpaceDE w:val="0"/>
        <w:autoSpaceDN w:val="0"/>
        <w:adjustRightInd w:val="0"/>
        <w:spacing w:line="276" w:lineRule="auto"/>
        <w:rPr>
          <w:rFonts w:ascii="Arial" w:hAnsi="Arial" w:cs="Arial"/>
          <w:szCs w:val="24"/>
        </w:rPr>
      </w:pPr>
    </w:p>
    <w:p w14:paraId="75C2495F" w14:textId="77777777" w:rsidR="00FC5C1B" w:rsidRDefault="00FC5C1B" w:rsidP="00A74D02">
      <w:pPr>
        <w:autoSpaceDE w:val="0"/>
        <w:autoSpaceDN w:val="0"/>
        <w:adjustRightInd w:val="0"/>
        <w:spacing w:line="276" w:lineRule="auto"/>
        <w:rPr>
          <w:rFonts w:ascii="Arial" w:hAnsi="Arial" w:cs="Arial"/>
          <w:szCs w:val="24"/>
        </w:rPr>
      </w:pPr>
    </w:p>
    <w:p w14:paraId="3985B461" w14:textId="77777777" w:rsidR="00FC5C1B" w:rsidRPr="00FC5C1B" w:rsidRDefault="00FC5C1B" w:rsidP="00A74D02">
      <w:pPr>
        <w:autoSpaceDE w:val="0"/>
        <w:autoSpaceDN w:val="0"/>
        <w:adjustRightInd w:val="0"/>
        <w:spacing w:line="276" w:lineRule="auto"/>
        <w:rPr>
          <w:rFonts w:ascii="Arial" w:hAnsi="Arial" w:cs="Arial"/>
          <w:szCs w:val="24"/>
        </w:rPr>
      </w:pPr>
    </w:p>
    <w:p w14:paraId="1F04EBF5" w14:textId="77777777" w:rsidR="00A74D02" w:rsidRPr="00FC5C1B" w:rsidRDefault="00A74D02" w:rsidP="00A74D02">
      <w:pPr>
        <w:autoSpaceDE w:val="0"/>
        <w:autoSpaceDN w:val="0"/>
        <w:adjustRightInd w:val="0"/>
        <w:spacing w:line="276" w:lineRule="auto"/>
        <w:rPr>
          <w:rFonts w:ascii="Arial" w:hAnsi="Arial" w:cs="Arial"/>
          <w:szCs w:val="24"/>
        </w:rPr>
      </w:pPr>
    </w:p>
    <w:p w14:paraId="1ADCC97B" w14:textId="77777777" w:rsidR="00A74D02" w:rsidRPr="00FC5C1B" w:rsidRDefault="00A74D02" w:rsidP="00A74D02">
      <w:pPr>
        <w:autoSpaceDE w:val="0"/>
        <w:autoSpaceDN w:val="0"/>
        <w:adjustRightInd w:val="0"/>
        <w:spacing w:line="276" w:lineRule="auto"/>
        <w:rPr>
          <w:rFonts w:ascii="Arial" w:hAnsi="Arial" w:cs="Arial"/>
          <w:szCs w:val="24"/>
        </w:rPr>
      </w:pPr>
    </w:p>
    <w:p w14:paraId="232A455C" w14:textId="77777777" w:rsidR="00A74D02" w:rsidRPr="00FC5C1B" w:rsidRDefault="00A74D02" w:rsidP="00A74D02">
      <w:pPr>
        <w:pStyle w:val="Headinglevel1"/>
        <w:tabs>
          <w:tab w:val="left" w:pos="8870"/>
        </w:tabs>
        <w:spacing w:before="240" w:line="276" w:lineRule="auto"/>
        <w:rPr>
          <w:rFonts w:ascii="Arial" w:hAnsi="Arial" w:cs="Arial"/>
        </w:rPr>
      </w:pPr>
      <w:bookmarkStart w:id="0" w:name="_Toc490256598"/>
    </w:p>
    <w:bookmarkStart w:id="1" w:name="_Toc22487142" w:displacedByCustomXml="next"/>
    <w:bookmarkStart w:id="2" w:name="_Toc22487023" w:displacedByCustomXml="next"/>
    <w:bookmarkStart w:id="3" w:name="_Toc22304694" w:displacedByCustomXml="next"/>
    <w:sdt>
      <w:sdtPr>
        <w:rPr>
          <w:rFonts w:ascii="Century Gothic" w:eastAsiaTheme="minorEastAsia" w:hAnsi="Century Gothic" w:cs="Arial"/>
          <w:b w:val="0"/>
          <w:bCs w:val="0"/>
          <w:color w:val="auto"/>
          <w:sz w:val="22"/>
          <w:szCs w:val="22"/>
          <w:lang w:val="en-GB" w:eastAsia="en-GB"/>
        </w:rPr>
        <w:id w:val="-1093779735"/>
        <w:docPartObj>
          <w:docPartGallery w:val="Table of Contents"/>
          <w:docPartUnique/>
        </w:docPartObj>
      </w:sdtPr>
      <w:sdtEndPr>
        <w:rPr>
          <w:noProof/>
        </w:rPr>
      </w:sdtEndPr>
      <w:sdtContent>
        <w:p w14:paraId="44D157C4" w14:textId="77777777" w:rsidR="00F96D55" w:rsidRPr="002E135E" w:rsidRDefault="00F96D55" w:rsidP="00A74D02">
          <w:pPr>
            <w:pStyle w:val="TOCHeading"/>
            <w:rPr>
              <w:rFonts w:ascii="Century Gothic" w:eastAsiaTheme="minorEastAsia" w:hAnsi="Century Gothic" w:cs="Arial"/>
              <w:b w:val="0"/>
              <w:bCs w:val="0"/>
              <w:color w:val="auto"/>
              <w:sz w:val="22"/>
              <w:szCs w:val="22"/>
              <w:lang w:val="en-GB" w:eastAsia="en-GB"/>
            </w:rPr>
          </w:pPr>
        </w:p>
        <w:p w14:paraId="3B6B0791" w14:textId="77777777" w:rsidR="00F96D55" w:rsidRPr="002E135E" w:rsidRDefault="00F96D55" w:rsidP="00A74D02">
          <w:pPr>
            <w:pStyle w:val="TOCHeading"/>
            <w:rPr>
              <w:rFonts w:ascii="Century Gothic" w:eastAsiaTheme="minorEastAsia" w:hAnsi="Century Gothic" w:cs="Arial"/>
              <w:b w:val="0"/>
              <w:bCs w:val="0"/>
              <w:color w:val="auto"/>
              <w:sz w:val="22"/>
              <w:szCs w:val="22"/>
              <w:lang w:val="en-GB" w:eastAsia="en-GB"/>
            </w:rPr>
          </w:pPr>
        </w:p>
        <w:p w14:paraId="27B38D73" w14:textId="2E20CD26" w:rsidR="00A74D02" w:rsidRPr="002E135E" w:rsidRDefault="00A74D02" w:rsidP="00A74D02">
          <w:pPr>
            <w:pStyle w:val="TOCHeading"/>
            <w:rPr>
              <w:rFonts w:ascii="Century Gothic" w:hAnsi="Century Gothic" w:cs="Arial"/>
              <w:color w:val="FF0000"/>
              <w:sz w:val="22"/>
              <w:szCs w:val="22"/>
            </w:rPr>
          </w:pPr>
          <w:r w:rsidRPr="002E135E">
            <w:rPr>
              <w:rFonts w:ascii="Century Gothic" w:hAnsi="Century Gothic" w:cs="Arial"/>
              <w:color w:val="FF0000"/>
              <w:sz w:val="22"/>
              <w:szCs w:val="22"/>
            </w:rPr>
            <w:t>Contents</w:t>
          </w:r>
        </w:p>
        <w:p w14:paraId="20D6D2B7" w14:textId="50C15B22" w:rsidR="00AF7DE2" w:rsidRPr="002E135E" w:rsidRDefault="00A74D02">
          <w:pPr>
            <w:pStyle w:val="TOC1"/>
            <w:tabs>
              <w:tab w:val="right" w:leader="dot" w:pos="10042"/>
            </w:tabs>
            <w:rPr>
              <w:rFonts w:ascii="Century Gothic" w:hAnsi="Century Gothic"/>
              <w:noProof/>
              <w:kern w:val="2"/>
              <w14:ligatures w14:val="standardContextual"/>
            </w:rPr>
          </w:pPr>
          <w:r w:rsidRPr="002E135E">
            <w:rPr>
              <w:rFonts w:ascii="Century Gothic" w:hAnsi="Century Gothic" w:cs="Arial"/>
            </w:rPr>
            <w:fldChar w:fldCharType="begin"/>
          </w:r>
          <w:r w:rsidRPr="002E135E">
            <w:rPr>
              <w:rFonts w:ascii="Century Gothic" w:hAnsi="Century Gothic" w:cs="Arial"/>
            </w:rPr>
            <w:instrText xml:space="preserve"> TOC \o "1-3" \h \z \u </w:instrText>
          </w:r>
          <w:r w:rsidRPr="002E135E">
            <w:rPr>
              <w:rFonts w:ascii="Century Gothic" w:hAnsi="Century Gothic" w:cs="Arial"/>
            </w:rPr>
            <w:fldChar w:fldCharType="separate"/>
          </w:r>
          <w:hyperlink w:anchor="_Toc146020597" w:history="1">
            <w:r w:rsidR="00AF7DE2" w:rsidRPr="002E135E">
              <w:rPr>
                <w:rStyle w:val="Hyperlink"/>
                <w:rFonts w:ascii="Century Gothic" w:hAnsi="Century Gothic" w:cs="Arial"/>
                <w:noProof/>
              </w:rPr>
              <w:t>Definitions</w:t>
            </w:r>
            <w:r w:rsidR="00AF7DE2" w:rsidRPr="002E135E">
              <w:rPr>
                <w:rFonts w:ascii="Century Gothic" w:hAnsi="Century Gothic"/>
                <w:noProof/>
                <w:webHidden/>
              </w:rPr>
              <w:tab/>
            </w:r>
            <w:r w:rsidR="00AF7DE2" w:rsidRPr="002E135E">
              <w:rPr>
                <w:rFonts w:ascii="Century Gothic" w:hAnsi="Century Gothic"/>
                <w:noProof/>
                <w:webHidden/>
              </w:rPr>
              <w:fldChar w:fldCharType="begin"/>
            </w:r>
            <w:r w:rsidR="00AF7DE2" w:rsidRPr="002E135E">
              <w:rPr>
                <w:rFonts w:ascii="Century Gothic" w:hAnsi="Century Gothic"/>
                <w:noProof/>
                <w:webHidden/>
              </w:rPr>
              <w:instrText xml:space="preserve"> PAGEREF _Toc146020597 \h </w:instrText>
            </w:r>
            <w:r w:rsidR="00AF7DE2" w:rsidRPr="002E135E">
              <w:rPr>
                <w:rFonts w:ascii="Century Gothic" w:hAnsi="Century Gothic"/>
                <w:noProof/>
                <w:webHidden/>
              </w:rPr>
            </w:r>
            <w:r w:rsidR="00AF7DE2" w:rsidRPr="002E135E">
              <w:rPr>
                <w:rFonts w:ascii="Century Gothic" w:hAnsi="Century Gothic"/>
                <w:noProof/>
                <w:webHidden/>
              </w:rPr>
              <w:fldChar w:fldCharType="separate"/>
            </w:r>
            <w:r w:rsidR="00AF7DE2" w:rsidRPr="002E135E">
              <w:rPr>
                <w:rFonts w:ascii="Century Gothic" w:hAnsi="Century Gothic"/>
                <w:noProof/>
                <w:webHidden/>
              </w:rPr>
              <w:t>2</w:t>
            </w:r>
            <w:r w:rsidR="00AF7DE2" w:rsidRPr="002E135E">
              <w:rPr>
                <w:rFonts w:ascii="Century Gothic" w:hAnsi="Century Gothic"/>
                <w:noProof/>
                <w:webHidden/>
              </w:rPr>
              <w:fldChar w:fldCharType="end"/>
            </w:r>
          </w:hyperlink>
        </w:p>
        <w:p w14:paraId="6C5E871A" w14:textId="3F69B4F2" w:rsidR="00AF7DE2" w:rsidRPr="002E135E" w:rsidRDefault="002135F4">
          <w:pPr>
            <w:pStyle w:val="TOC1"/>
            <w:tabs>
              <w:tab w:val="right" w:leader="dot" w:pos="10042"/>
            </w:tabs>
            <w:rPr>
              <w:rFonts w:ascii="Century Gothic" w:hAnsi="Century Gothic" w:cs="Arial"/>
              <w:noProof/>
              <w:kern w:val="2"/>
              <w14:ligatures w14:val="standardContextual"/>
            </w:rPr>
          </w:pPr>
          <w:hyperlink w:anchor="_Toc146020598" w:history="1">
            <w:r w:rsidR="00AF7DE2" w:rsidRPr="002E135E">
              <w:rPr>
                <w:rStyle w:val="Hyperlink"/>
                <w:rFonts w:ascii="Century Gothic" w:hAnsi="Century Gothic" w:cs="Arial"/>
                <w:noProof/>
              </w:rPr>
              <w:t>Purpose of the Policy</w:t>
            </w:r>
            <w:r w:rsidR="00AF7DE2" w:rsidRPr="002E135E">
              <w:rPr>
                <w:rFonts w:ascii="Century Gothic" w:hAnsi="Century Gothic" w:cs="Arial"/>
                <w:noProof/>
                <w:webHidden/>
              </w:rPr>
              <w:tab/>
            </w:r>
            <w:r w:rsidR="00AF7DE2" w:rsidRPr="002E135E">
              <w:rPr>
                <w:rFonts w:ascii="Century Gothic" w:hAnsi="Century Gothic" w:cs="Arial"/>
                <w:noProof/>
                <w:webHidden/>
              </w:rPr>
              <w:fldChar w:fldCharType="begin"/>
            </w:r>
            <w:r w:rsidR="00AF7DE2" w:rsidRPr="002E135E">
              <w:rPr>
                <w:rFonts w:ascii="Century Gothic" w:hAnsi="Century Gothic" w:cs="Arial"/>
                <w:noProof/>
                <w:webHidden/>
              </w:rPr>
              <w:instrText xml:space="preserve"> PAGEREF _Toc146020598 \h </w:instrText>
            </w:r>
            <w:r w:rsidR="00AF7DE2" w:rsidRPr="002E135E">
              <w:rPr>
                <w:rFonts w:ascii="Century Gothic" w:hAnsi="Century Gothic" w:cs="Arial"/>
                <w:noProof/>
                <w:webHidden/>
              </w:rPr>
            </w:r>
            <w:r w:rsidR="00AF7DE2" w:rsidRPr="002E135E">
              <w:rPr>
                <w:rFonts w:ascii="Century Gothic" w:hAnsi="Century Gothic" w:cs="Arial"/>
                <w:noProof/>
                <w:webHidden/>
              </w:rPr>
              <w:fldChar w:fldCharType="separate"/>
            </w:r>
            <w:r w:rsidR="00AF7DE2" w:rsidRPr="002E135E">
              <w:rPr>
                <w:rFonts w:ascii="Century Gothic" w:hAnsi="Century Gothic" w:cs="Arial"/>
                <w:noProof/>
                <w:webHidden/>
              </w:rPr>
              <w:t>2</w:t>
            </w:r>
            <w:r w:rsidR="00AF7DE2" w:rsidRPr="002E135E">
              <w:rPr>
                <w:rFonts w:ascii="Century Gothic" w:hAnsi="Century Gothic" w:cs="Arial"/>
                <w:noProof/>
                <w:webHidden/>
              </w:rPr>
              <w:fldChar w:fldCharType="end"/>
            </w:r>
          </w:hyperlink>
        </w:p>
        <w:p w14:paraId="0171DB5F" w14:textId="58E03F55" w:rsidR="00AF7DE2" w:rsidRPr="002E135E" w:rsidRDefault="002135F4">
          <w:pPr>
            <w:pStyle w:val="TOC1"/>
            <w:tabs>
              <w:tab w:val="right" w:leader="dot" w:pos="10042"/>
            </w:tabs>
            <w:rPr>
              <w:rFonts w:ascii="Century Gothic" w:hAnsi="Century Gothic" w:cs="Arial"/>
              <w:noProof/>
              <w:kern w:val="2"/>
              <w14:ligatures w14:val="standardContextual"/>
            </w:rPr>
          </w:pPr>
          <w:hyperlink w:anchor="_Toc146020599" w:history="1">
            <w:r w:rsidR="00AF7DE2" w:rsidRPr="002E135E">
              <w:rPr>
                <w:rStyle w:val="Hyperlink"/>
                <w:rFonts w:ascii="Century Gothic" w:hAnsi="Century Gothic" w:cs="Arial"/>
                <w:noProof/>
              </w:rPr>
              <w:t>General Principles</w:t>
            </w:r>
            <w:r w:rsidR="00AF7DE2" w:rsidRPr="002E135E">
              <w:rPr>
                <w:rFonts w:ascii="Century Gothic" w:hAnsi="Century Gothic" w:cs="Arial"/>
                <w:noProof/>
                <w:webHidden/>
              </w:rPr>
              <w:tab/>
            </w:r>
            <w:r w:rsidR="00AF7DE2" w:rsidRPr="002E135E">
              <w:rPr>
                <w:rFonts w:ascii="Century Gothic" w:hAnsi="Century Gothic" w:cs="Arial"/>
                <w:noProof/>
                <w:webHidden/>
              </w:rPr>
              <w:fldChar w:fldCharType="begin"/>
            </w:r>
            <w:r w:rsidR="00AF7DE2" w:rsidRPr="002E135E">
              <w:rPr>
                <w:rFonts w:ascii="Century Gothic" w:hAnsi="Century Gothic" w:cs="Arial"/>
                <w:noProof/>
                <w:webHidden/>
              </w:rPr>
              <w:instrText xml:space="preserve"> PAGEREF _Toc146020599 \h </w:instrText>
            </w:r>
            <w:r w:rsidR="00AF7DE2" w:rsidRPr="002E135E">
              <w:rPr>
                <w:rFonts w:ascii="Century Gothic" w:hAnsi="Century Gothic" w:cs="Arial"/>
                <w:noProof/>
                <w:webHidden/>
              </w:rPr>
            </w:r>
            <w:r w:rsidR="00AF7DE2" w:rsidRPr="002E135E">
              <w:rPr>
                <w:rFonts w:ascii="Century Gothic" w:hAnsi="Century Gothic" w:cs="Arial"/>
                <w:noProof/>
                <w:webHidden/>
              </w:rPr>
              <w:fldChar w:fldCharType="separate"/>
            </w:r>
            <w:r w:rsidR="00AF7DE2" w:rsidRPr="002E135E">
              <w:rPr>
                <w:rFonts w:ascii="Century Gothic" w:hAnsi="Century Gothic" w:cs="Arial"/>
                <w:noProof/>
                <w:webHidden/>
              </w:rPr>
              <w:t>3</w:t>
            </w:r>
            <w:r w:rsidR="00AF7DE2" w:rsidRPr="002E135E">
              <w:rPr>
                <w:rFonts w:ascii="Century Gothic" w:hAnsi="Century Gothic" w:cs="Arial"/>
                <w:noProof/>
                <w:webHidden/>
              </w:rPr>
              <w:fldChar w:fldCharType="end"/>
            </w:r>
          </w:hyperlink>
        </w:p>
        <w:p w14:paraId="07F986C9" w14:textId="669681EA" w:rsidR="00AF7DE2" w:rsidRPr="002E135E" w:rsidRDefault="002135F4">
          <w:pPr>
            <w:pStyle w:val="TOC1"/>
            <w:tabs>
              <w:tab w:val="right" w:leader="dot" w:pos="10042"/>
            </w:tabs>
            <w:rPr>
              <w:rFonts w:ascii="Century Gothic" w:hAnsi="Century Gothic" w:cs="Arial"/>
              <w:noProof/>
              <w:kern w:val="2"/>
              <w14:ligatures w14:val="standardContextual"/>
            </w:rPr>
          </w:pPr>
          <w:hyperlink w:anchor="_Toc146020600" w:history="1">
            <w:r w:rsidR="00AF7DE2" w:rsidRPr="002E135E">
              <w:rPr>
                <w:rStyle w:val="Hyperlink"/>
                <w:rFonts w:ascii="Century Gothic" w:hAnsi="Century Gothic" w:cs="Arial"/>
                <w:noProof/>
              </w:rPr>
              <w:t>The Assessment Process</w:t>
            </w:r>
            <w:r w:rsidR="00AF7DE2" w:rsidRPr="002E135E">
              <w:rPr>
                <w:rFonts w:ascii="Century Gothic" w:hAnsi="Century Gothic" w:cs="Arial"/>
                <w:noProof/>
                <w:webHidden/>
              </w:rPr>
              <w:tab/>
            </w:r>
            <w:r w:rsidR="00AF7DE2" w:rsidRPr="002E135E">
              <w:rPr>
                <w:rFonts w:ascii="Century Gothic" w:hAnsi="Century Gothic" w:cs="Arial"/>
                <w:noProof/>
                <w:webHidden/>
              </w:rPr>
              <w:fldChar w:fldCharType="begin"/>
            </w:r>
            <w:r w:rsidR="00AF7DE2" w:rsidRPr="002E135E">
              <w:rPr>
                <w:rFonts w:ascii="Century Gothic" w:hAnsi="Century Gothic" w:cs="Arial"/>
                <w:noProof/>
                <w:webHidden/>
              </w:rPr>
              <w:instrText xml:space="preserve"> PAGEREF _Toc146020600 \h </w:instrText>
            </w:r>
            <w:r w:rsidR="00AF7DE2" w:rsidRPr="002E135E">
              <w:rPr>
                <w:rFonts w:ascii="Century Gothic" w:hAnsi="Century Gothic" w:cs="Arial"/>
                <w:noProof/>
                <w:webHidden/>
              </w:rPr>
            </w:r>
            <w:r w:rsidR="00AF7DE2" w:rsidRPr="002E135E">
              <w:rPr>
                <w:rFonts w:ascii="Century Gothic" w:hAnsi="Century Gothic" w:cs="Arial"/>
                <w:noProof/>
                <w:webHidden/>
              </w:rPr>
              <w:fldChar w:fldCharType="separate"/>
            </w:r>
            <w:r w:rsidR="00AF7DE2" w:rsidRPr="002E135E">
              <w:rPr>
                <w:rFonts w:ascii="Century Gothic" w:hAnsi="Century Gothic" w:cs="Arial"/>
                <w:noProof/>
                <w:webHidden/>
              </w:rPr>
              <w:t>3</w:t>
            </w:r>
            <w:r w:rsidR="00AF7DE2" w:rsidRPr="002E135E">
              <w:rPr>
                <w:rFonts w:ascii="Century Gothic" w:hAnsi="Century Gothic" w:cs="Arial"/>
                <w:noProof/>
                <w:webHidden/>
              </w:rPr>
              <w:fldChar w:fldCharType="end"/>
            </w:r>
          </w:hyperlink>
        </w:p>
        <w:p w14:paraId="0AB47423" w14:textId="0BBDB807" w:rsidR="00AF7DE2" w:rsidRPr="002E135E" w:rsidRDefault="002135F4">
          <w:pPr>
            <w:pStyle w:val="TOC1"/>
            <w:tabs>
              <w:tab w:val="right" w:leader="dot" w:pos="10042"/>
            </w:tabs>
            <w:rPr>
              <w:rFonts w:ascii="Century Gothic" w:hAnsi="Century Gothic" w:cs="Arial"/>
              <w:noProof/>
              <w:kern w:val="2"/>
              <w14:ligatures w14:val="standardContextual"/>
            </w:rPr>
          </w:pPr>
          <w:hyperlink w:anchor="_Toc146020601" w:history="1">
            <w:r w:rsidR="00AF7DE2" w:rsidRPr="002E135E">
              <w:rPr>
                <w:rStyle w:val="Hyperlink"/>
                <w:rFonts w:ascii="Century Gothic" w:hAnsi="Century Gothic" w:cs="Arial"/>
                <w:noProof/>
              </w:rPr>
              <w:t>Processing Access Arrangements</w:t>
            </w:r>
            <w:r w:rsidR="00AF7DE2" w:rsidRPr="002E135E">
              <w:rPr>
                <w:rFonts w:ascii="Century Gothic" w:hAnsi="Century Gothic" w:cs="Arial"/>
                <w:noProof/>
                <w:webHidden/>
              </w:rPr>
              <w:tab/>
            </w:r>
            <w:r w:rsidR="00AF7DE2" w:rsidRPr="002E135E">
              <w:rPr>
                <w:rFonts w:ascii="Century Gothic" w:hAnsi="Century Gothic" w:cs="Arial"/>
                <w:noProof/>
                <w:webHidden/>
              </w:rPr>
              <w:fldChar w:fldCharType="begin"/>
            </w:r>
            <w:r w:rsidR="00AF7DE2" w:rsidRPr="002E135E">
              <w:rPr>
                <w:rFonts w:ascii="Century Gothic" w:hAnsi="Century Gothic" w:cs="Arial"/>
                <w:noProof/>
                <w:webHidden/>
              </w:rPr>
              <w:instrText xml:space="preserve"> PAGEREF _Toc146020601 \h </w:instrText>
            </w:r>
            <w:r w:rsidR="00AF7DE2" w:rsidRPr="002E135E">
              <w:rPr>
                <w:rFonts w:ascii="Century Gothic" w:hAnsi="Century Gothic" w:cs="Arial"/>
                <w:noProof/>
                <w:webHidden/>
              </w:rPr>
            </w:r>
            <w:r w:rsidR="00AF7DE2" w:rsidRPr="002E135E">
              <w:rPr>
                <w:rFonts w:ascii="Century Gothic" w:hAnsi="Century Gothic" w:cs="Arial"/>
                <w:noProof/>
                <w:webHidden/>
              </w:rPr>
              <w:fldChar w:fldCharType="separate"/>
            </w:r>
            <w:r w:rsidR="00AF7DE2" w:rsidRPr="002E135E">
              <w:rPr>
                <w:rFonts w:ascii="Century Gothic" w:hAnsi="Century Gothic" w:cs="Arial"/>
                <w:noProof/>
                <w:webHidden/>
              </w:rPr>
              <w:t>3</w:t>
            </w:r>
            <w:r w:rsidR="00AF7DE2" w:rsidRPr="002E135E">
              <w:rPr>
                <w:rFonts w:ascii="Century Gothic" w:hAnsi="Century Gothic" w:cs="Arial"/>
                <w:noProof/>
                <w:webHidden/>
              </w:rPr>
              <w:fldChar w:fldCharType="end"/>
            </w:r>
          </w:hyperlink>
        </w:p>
        <w:p w14:paraId="0B16BDBD" w14:textId="47D81AA6" w:rsidR="00A74D02" w:rsidRPr="002E135E" w:rsidRDefault="00A74D02" w:rsidP="00A74D02">
          <w:pPr>
            <w:rPr>
              <w:rFonts w:ascii="Century Gothic" w:hAnsi="Century Gothic" w:cs="Arial"/>
            </w:rPr>
          </w:pPr>
          <w:r w:rsidRPr="002E135E">
            <w:rPr>
              <w:rFonts w:ascii="Century Gothic" w:hAnsi="Century Gothic" w:cs="Arial"/>
              <w:b/>
              <w:bCs/>
              <w:noProof/>
            </w:rPr>
            <w:fldChar w:fldCharType="end"/>
          </w:r>
        </w:p>
      </w:sdtContent>
    </w:sdt>
    <w:p w14:paraId="5455BA23" w14:textId="77777777" w:rsidR="00A74D02" w:rsidRPr="002E135E" w:rsidRDefault="00A16E4D" w:rsidP="00A74D02">
      <w:pPr>
        <w:pStyle w:val="Headinglevel1"/>
        <w:spacing w:before="240" w:line="276" w:lineRule="auto"/>
        <w:rPr>
          <w:rFonts w:ascii="Century Gothic" w:hAnsi="Century Gothic" w:cs="Arial"/>
          <w:color w:val="FF0000"/>
        </w:rPr>
      </w:pPr>
      <w:bookmarkStart w:id="4" w:name="_Toc146020597"/>
      <w:bookmarkEnd w:id="0"/>
      <w:bookmarkEnd w:id="3"/>
      <w:bookmarkEnd w:id="2"/>
      <w:bookmarkEnd w:id="1"/>
      <w:r w:rsidRPr="002E135E">
        <w:rPr>
          <w:rFonts w:ascii="Century Gothic" w:hAnsi="Century Gothic" w:cs="Arial"/>
          <w:color w:val="FF0000"/>
        </w:rPr>
        <w:t>Definitions</w:t>
      </w:r>
      <w:bookmarkEnd w:id="4"/>
    </w:p>
    <w:p w14:paraId="77D2B6B0" w14:textId="77777777" w:rsidR="00FC5C1B" w:rsidRPr="002E135E" w:rsidRDefault="00FC5C1B" w:rsidP="00FC5C1B">
      <w:pPr>
        <w:spacing w:before="100" w:beforeAutospacing="1" w:after="100" w:afterAutospacing="1"/>
        <w:rPr>
          <w:rFonts w:ascii="Century Gothic" w:hAnsi="Century Gothic" w:cs="Arial"/>
          <w:b/>
          <w:bCs/>
          <w:color w:val="FF0000"/>
          <w:u w:val="single"/>
        </w:rPr>
      </w:pPr>
      <w:bookmarkStart w:id="5" w:name="_Toc523473882"/>
      <w:bookmarkStart w:id="6" w:name="_Toc22304698"/>
      <w:bookmarkStart w:id="7" w:name="_Toc22487026"/>
      <w:bookmarkStart w:id="8" w:name="_Toc22487145"/>
      <w:r w:rsidRPr="002E135E">
        <w:rPr>
          <w:rFonts w:ascii="Century Gothic" w:hAnsi="Century Gothic" w:cs="Arial"/>
          <w:b/>
          <w:bCs/>
          <w:color w:val="FF0000"/>
          <w:u w:val="single"/>
        </w:rPr>
        <w:t>Access Arrangements</w:t>
      </w:r>
    </w:p>
    <w:p w14:paraId="69B7864E" w14:textId="418A866D" w:rsidR="00FC5C1B" w:rsidRPr="002E135E" w:rsidRDefault="00FC5C1B" w:rsidP="00FC5C1B">
      <w:pPr>
        <w:spacing w:before="100" w:beforeAutospacing="1" w:after="100" w:afterAutospacing="1"/>
        <w:rPr>
          <w:rFonts w:ascii="Century Gothic" w:eastAsia="Times New Roman" w:hAnsi="Century Gothic" w:cs="Arial"/>
        </w:rPr>
      </w:pPr>
      <w:r w:rsidRPr="002E135E">
        <w:rPr>
          <w:rFonts w:ascii="Century Gothic" w:hAnsi="Century Gothic" w:cs="Arial"/>
          <w:b/>
          <w:bCs/>
        </w:rPr>
        <w:t>Access</w:t>
      </w:r>
      <w:r w:rsidRPr="002E135E">
        <w:rPr>
          <w:rFonts w:ascii="Century Gothic" w:eastAsia="Times New Roman" w:hAnsi="Century Gothic" w:cs="Arial"/>
          <w:b/>
          <w:bCs/>
        </w:rPr>
        <w:t xml:space="preserve"> arrangements are agreed before an assessment</w:t>
      </w:r>
      <w:r w:rsidRPr="002E135E">
        <w:rPr>
          <w:rFonts w:ascii="Century Gothic" w:eastAsia="Times New Roman" w:hAnsi="Century Gothic" w:cs="Arial"/>
        </w:rPr>
        <w:t xml:space="preserve">. They allow learners with </w:t>
      </w:r>
      <w:r w:rsidRPr="002E135E">
        <w:rPr>
          <w:rFonts w:ascii="Century Gothic" w:eastAsia="Times New Roman" w:hAnsi="Century Gothic" w:cs="Arial"/>
          <w:b/>
          <w:bCs/>
        </w:rPr>
        <w:t>specific needs</w:t>
      </w:r>
      <w:r w:rsidRPr="002E135E">
        <w:rPr>
          <w:rFonts w:ascii="Century Gothic" w:eastAsia="Times New Roman" w:hAnsi="Century Gothic" w:cs="Arial"/>
        </w:rPr>
        <w:t xml:space="preserve">, such as special educational needs, disabilities or temporary injuries to access the assessment and show what they know and can do without changing the demands of the assessment. The intention behind an access arrangement is to meet the needs of an individual learner without affecting the integrity of the assessment. Access arrangements are the principal way in which </w:t>
      </w:r>
      <w:r w:rsidR="00B955FB" w:rsidRPr="002E135E">
        <w:rPr>
          <w:rFonts w:ascii="Century Gothic" w:eastAsia="Times New Roman" w:hAnsi="Century Gothic" w:cs="Arial"/>
        </w:rPr>
        <w:t>A</w:t>
      </w:r>
      <w:r w:rsidRPr="002E135E">
        <w:rPr>
          <w:rFonts w:ascii="Century Gothic" w:eastAsia="Times New Roman" w:hAnsi="Century Gothic" w:cs="Arial"/>
        </w:rPr>
        <w:t xml:space="preserve">warding </w:t>
      </w:r>
      <w:r w:rsidR="00B955FB" w:rsidRPr="002E135E">
        <w:rPr>
          <w:rFonts w:ascii="Century Gothic" w:eastAsia="Times New Roman" w:hAnsi="Century Gothic" w:cs="Arial"/>
        </w:rPr>
        <w:t>Organisations</w:t>
      </w:r>
      <w:r w:rsidRPr="002E135E">
        <w:rPr>
          <w:rFonts w:ascii="Century Gothic" w:eastAsia="Times New Roman" w:hAnsi="Century Gothic" w:cs="Arial"/>
        </w:rPr>
        <w:t xml:space="preserve"> comply with the duty under the Equality Act 2010 to make ‘reasonable adjustments’.</w:t>
      </w:r>
    </w:p>
    <w:p w14:paraId="40A84EA7" w14:textId="77777777" w:rsidR="00A74D02" w:rsidRPr="002E135E" w:rsidRDefault="00A74D02" w:rsidP="00FC5C1B">
      <w:pPr>
        <w:spacing w:before="100" w:beforeAutospacing="1" w:after="100" w:afterAutospacing="1"/>
        <w:rPr>
          <w:rFonts w:ascii="Century Gothic" w:hAnsi="Century Gothic" w:cs="Arial"/>
          <w:b/>
          <w:bCs/>
          <w:color w:val="FF0000"/>
          <w:u w:val="single"/>
        </w:rPr>
      </w:pPr>
      <w:r w:rsidRPr="002E135E">
        <w:rPr>
          <w:rFonts w:ascii="Century Gothic" w:hAnsi="Century Gothic" w:cs="Arial"/>
          <w:b/>
          <w:bCs/>
          <w:color w:val="FF0000"/>
          <w:u w:val="single"/>
        </w:rPr>
        <w:t xml:space="preserve">Reasonable </w:t>
      </w:r>
      <w:r w:rsidR="00FC5C1B" w:rsidRPr="002E135E">
        <w:rPr>
          <w:rFonts w:ascii="Century Gothic" w:hAnsi="Century Gothic" w:cs="Arial"/>
          <w:b/>
          <w:bCs/>
          <w:color w:val="FF0000"/>
          <w:u w:val="single"/>
        </w:rPr>
        <w:t>A</w:t>
      </w:r>
      <w:r w:rsidRPr="002E135E">
        <w:rPr>
          <w:rFonts w:ascii="Century Gothic" w:hAnsi="Century Gothic" w:cs="Arial"/>
          <w:b/>
          <w:bCs/>
          <w:color w:val="FF0000"/>
          <w:u w:val="single"/>
        </w:rPr>
        <w:t>djustments</w:t>
      </w:r>
      <w:bookmarkStart w:id="9" w:name="_Toc490083853"/>
      <w:bookmarkStart w:id="10" w:name="_Toc523473883"/>
      <w:bookmarkStart w:id="11" w:name="_Toc22304699"/>
      <w:bookmarkStart w:id="12" w:name="_Toc22487027"/>
      <w:bookmarkStart w:id="13" w:name="_Toc22487146"/>
      <w:bookmarkStart w:id="14" w:name="_Toc466921629"/>
      <w:bookmarkStart w:id="15" w:name="_Toc449469095"/>
      <w:bookmarkStart w:id="16" w:name="_Hlk523424464"/>
      <w:bookmarkEnd w:id="5"/>
      <w:bookmarkEnd w:id="6"/>
      <w:bookmarkEnd w:id="7"/>
      <w:bookmarkEnd w:id="8"/>
    </w:p>
    <w:p w14:paraId="051D51F6" w14:textId="77777777" w:rsidR="00B44660" w:rsidRPr="002E135E" w:rsidRDefault="00FC5C1B" w:rsidP="00FC5C1B">
      <w:pPr>
        <w:pStyle w:val="NormalWeb"/>
        <w:spacing w:before="0" w:beforeAutospacing="0" w:after="120" w:afterAutospacing="0"/>
        <w:rPr>
          <w:rFonts w:ascii="Century Gothic" w:hAnsi="Century Gothic" w:cs="Arial"/>
          <w:szCs w:val="22"/>
        </w:rPr>
      </w:pPr>
      <w:r w:rsidRPr="002E135E">
        <w:rPr>
          <w:rFonts w:ascii="Century Gothic" w:hAnsi="Century Gothic" w:cs="Arial"/>
          <w:szCs w:val="22"/>
        </w:rPr>
        <w:t xml:space="preserve">The Equality Act 2010 requires an </w:t>
      </w:r>
      <w:r w:rsidR="00B955FB" w:rsidRPr="002E135E">
        <w:rPr>
          <w:rFonts w:ascii="Century Gothic" w:hAnsi="Century Gothic" w:cs="Arial"/>
          <w:szCs w:val="22"/>
        </w:rPr>
        <w:t>Awarding Organisation</w:t>
      </w:r>
      <w:r w:rsidRPr="002E135E">
        <w:rPr>
          <w:rFonts w:ascii="Century Gothic" w:hAnsi="Century Gothic" w:cs="Arial"/>
          <w:szCs w:val="22"/>
        </w:rPr>
        <w:t xml:space="preserve">/centre to make reasonable adjustments where a learner would be at a substantial disadvantage in comparison to another learner. The </w:t>
      </w:r>
      <w:r w:rsidR="00B955FB" w:rsidRPr="002E135E">
        <w:rPr>
          <w:rFonts w:ascii="Century Gothic" w:hAnsi="Century Gothic" w:cs="Arial"/>
          <w:szCs w:val="22"/>
        </w:rPr>
        <w:t>Awarding Organisation</w:t>
      </w:r>
      <w:r w:rsidRPr="002E135E">
        <w:rPr>
          <w:rFonts w:ascii="Century Gothic" w:hAnsi="Century Gothic" w:cs="Arial"/>
          <w:szCs w:val="22"/>
        </w:rPr>
        <w:t xml:space="preserve">/centre is required to take reasonable steps to overcome that disadvantage. An example would be a Braille paper which would be a reasonable adjustment for a vision impaired learner who could read Braille. </w:t>
      </w:r>
    </w:p>
    <w:p w14:paraId="6DDEEA78" w14:textId="77777777" w:rsidR="00B44660" w:rsidRPr="002E135E" w:rsidRDefault="00FC5C1B" w:rsidP="00FC5C1B">
      <w:pPr>
        <w:pStyle w:val="NormalWeb"/>
        <w:spacing w:before="0" w:beforeAutospacing="0" w:after="120" w:afterAutospacing="0"/>
        <w:rPr>
          <w:rFonts w:ascii="Century Gothic" w:hAnsi="Century Gothic" w:cs="Arial"/>
          <w:szCs w:val="22"/>
        </w:rPr>
      </w:pPr>
      <w:r w:rsidRPr="002E135E">
        <w:rPr>
          <w:rFonts w:ascii="Century Gothic" w:hAnsi="Century Gothic" w:cs="Arial"/>
          <w:szCs w:val="22"/>
        </w:rPr>
        <w:t xml:space="preserve">A reasonable adjustment may be unique to that individual and may not be included in the list of available access arrangements. </w:t>
      </w:r>
    </w:p>
    <w:p w14:paraId="13DE413A" w14:textId="50DDF3CD" w:rsidR="00FC5C1B" w:rsidRPr="002E135E" w:rsidRDefault="00FC5C1B" w:rsidP="00FC5C1B">
      <w:pPr>
        <w:pStyle w:val="NormalWeb"/>
        <w:spacing w:before="0" w:beforeAutospacing="0" w:after="120" w:afterAutospacing="0"/>
        <w:rPr>
          <w:rFonts w:ascii="Century Gothic" w:hAnsi="Century Gothic" w:cs="Arial"/>
          <w:szCs w:val="22"/>
        </w:rPr>
      </w:pPr>
      <w:r w:rsidRPr="002E135E">
        <w:rPr>
          <w:rFonts w:ascii="Century Gothic" w:hAnsi="Century Gothic" w:cs="Arial"/>
          <w:szCs w:val="22"/>
        </w:rPr>
        <w:t xml:space="preserve">Whether an adjustment will be considered reasonable will depend on several factors which will include, but are not limited to: </w:t>
      </w:r>
    </w:p>
    <w:p w14:paraId="5078F867" w14:textId="77777777" w:rsidR="00FC5C1B" w:rsidRPr="002E135E" w:rsidRDefault="00FC5C1B" w:rsidP="00FC5C1B">
      <w:pPr>
        <w:numPr>
          <w:ilvl w:val="0"/>
          <w:numId w:val="10"/>
        </w:numPr>
        <w:spacing w:before="0" w:after="0"/>
        <w:rPr>
          <w:rFonts w:ascii="Century Gothic" w:eastAsia="Times New Roman" w:hAnsi="Century Gothic" w:cs="Arial"/>
        </w:rPr>
      </w:pPr>
      <w:r w:rsidRPr="002E135E">
        <w:rPr>
          <w:rFonts w:ascii="Century Gothic" w:eastAsia="Times New Roman" w:hAnsi="Century Gothic" w:cs="Arial"/>
        </w:rPr>
        <w:t xml:space="preserve">the needs of the disabled learner; </w:t>
      </w:r>
    </w:p>
    <w:p w14:paraId="4BDE794F" w14:textId="77777777" w:rsidR="00FC5C1B" w:rsidRPr="002E135E" w:rsidRDefault="00FC5C1B" w:rsidP="00FC5C1B">
      <w:pPr>
        <w:numPr>
          <w:ilvl w:val="0"/>
          <w:numId w:val="10"/>
        </w:numPr>
        <w:spacing w:before="0" w:after="0"/>
        <w:rPr>
          <w:rFonts w:ascii="Century Gothic" w:eastAsia="Times New Roman" w:hAnsi="Century Gothic" w:cs="Arial"/>
        </w:rPr>
      </w:pPr>
      <w:r w:rsidRPr="002E135E">
        <w:rPr>
          <w:rFonts w:ascii="Century Gothic" w:eastAsia="Times New Roman" w:hAnsi="Century Gothic" w:cs="Arial"/>
        </w:rPr>
        <w:t xml:space="preserve">the effectiveness of the adjustment; </w:t>
      </w:r>
    </w:p>
    <w:p w14:paraId="30E0A923" w14:textId="77777777" w:rsidR="00FC5C1B" w:rsidRPr="002E135E" w:rsidRDefault="00FC5C1B" w:rsidP="00FC5C1B">
      <w:pPr>
        <w:numPr>
          <w:ilvl w:val="0"/>
          <w:numId w:val="10"/>
        </w:numPr>
        <w:spacing w:before="0" w:after="0"/>
        <w:rPr>
          <w:rFonts w:ascii="Century Gothic" w:eastAsia="Times New Roman" w:hAnsi="Century Gothic" w:cs="Arial"/>
        </w:rPr>
      </w:pPr>
      <w:r w:rsidRPr="002E135E">
        <w:rPr>
          <w:rFonts w:ascii="Century Gothic" w:eastAsia="Times New Roman" w:hAnsi="Century Gothic" w:cs="Arial"/>
        </w:rPr>
        <w:t xml:space="preserve">the cost of the adjustment; </w:t>
      </w:r>
      <w:r w:rsidRPr="002E135E">
        <w:rPr>
          <w:rFonts w:ascii="Century Gothic" w:eastAsia="Times New Roman" w:hAnsi="Century Gothic" w:cs="Arial"/>
          <w:b/>
          <w:bCs/>
        </w:rPr>
        <w:t xml:space="preserve">and </w:t>
      </w:r>
    </w:p>
    <w:p w14:paraId="35C56A99" w14:textId="77777777" w:rsidR="00FC5C1B" w:rsidRPr="002E135E" w:rsidRDefault="00FC5C1B" w:rsidP="00FC5C1B">
      <w:pPr>
        <w:numPr>
          <w:ilvl w:val="0"/>
          <w:numId w:val="10"/>
        </w:numPr>
        <w:spacing w:before="0" w:after="0"/>
        <w:rPr>
          <w:rFonts w:ascii="Century Gothic" w:eastAsia="Times New Roman" w:hAnsi="Century Gothic" w:cs="Arial"/>
        </w:rPr>
      </w:pPr>
      <w:proofErr w:type="gramStart"/>
      <w:r w:rsidRPr="002E135E">
        <w:rPr>
          <w:rFonts w:ascii="Century Gothic" w:eastAsia="Times New Roman" w:hAnsi="Century Gothic" w:cs="Arial"/>
        </w:rPr>
        <w:t>the</w:t>
      </w:r>
      <w:proofErr w:type="gramEnd"/>
      <w:r w:rsidRPr="002E135E">
        <w:rPr>
          <w:rFonts w:ascii="Century Gothic" w:eastAsia="Times New Roman" w:hAnsi="Century Gothic" w:cs="Arial"/>
        </w:rPr>
        <w:t xml:space="preserve"> likely impact of the adjustment upon the learner and other learners. </w:t>
      </w:r>
    </w:p>
    <w:p w14:paraId="719742F9" w14:textId="77777777" w:rsidR="00FC5C1B" w:rsidRPr="002E135E" w:rsidRDefault="00FC5C1B" w:rsidP="00B44660">
      <w:pPr>
        <w:rPr>
          <w:rFonts w:ascii="Century Gothic" w:eastAsia="Times New Roman" w:hAnsi="Century Gothic" w:cs="Arial"/>
        </w:rPr>
      </w:pPr>
      <w:r w:rsidRPr="002E135E">
        <w:rPr>
          <w:rFonts w:ascii="Century Gothic" w:eastAsia="Times New Roman" w:hAnsi="Century Gothic" w:cs="Arial"/>
        </w:rPr>
        <w:t xml:space="preserve">An adjustment will not be approved if it: </w:t>
      </w:r>
    </w:p>
    <w:p w14:paraId="52F15107" w14:textId="60F935CC" w:rsidR="00FC5C1B" w:rsidRPr="002E135E" w:rsidRDefault="00FC5C1B" w:rsidP="00FC5C1B">
      <w:pPr>
        <w:numPr>
          <w:ilvl w:val="0"/>
          <w:numId w:val="9"/>
        </w:numPr>
        <w:spacing w:before="0" w:after="0"/>
        <w:rPr>
          <w:rFonts w:ascii="Century Gothic" w:eastAsia="Times New Roman" w:hAnsi="Century Gothic" w:cs="Arial"/>
        </w:rPr>
      </w:pPr>
      <w:r w:rsidRPr="002E135E">
        <w:rPr>
          <w:rFonts w:ascii="Century Gothic" w:eastAsia="Times New Roman" w:hAnsi="Century Gothic" w:cs="Arial"/>
        </w:rPr>
        <w:t xml:space="preserve">involves unreasonable costs to the </w:t>
      </w:r>
      <w:r w:rsidR="00B44660" w:rsidRPr="002E135E">
        <w:rPr>
          <w:rFonts w:ascii="Century Gothic" w:eastAsia="Times New Roman" w:hAnsi="Century Gothic" w:cs="Arial"/>
        </w:rPr>
        <w:t xml:space="preserve">Awarding </w:t>
      </w:r>
      <w:proofErr w:type="spellStart"/>
      <w:r w:rsidR="00B44660" w:rsidRPr="002E135E">
        <w:rPr>
          <w:rFonts w:ascii="Century Gothic" w:eastAsia="Times New Roman" w:hAnsi="Century Gothic" w:cs="Arial"/>
        </w:rPr>
        <w:t>Organisatioin</w:t>
      </w:r>
      <w:proofErr w:type="spellEnd"/>
      <w:r w:rsidRPr="002E135E">
        <w:rPr>
          <w:rFonts w:ascii="Century Gothic" w:eastAsia="Times New Roman" w:hAnsi="Century Gothic" w:cs="Arial"/>
        </w:rPr>
        <w:t xml:space="preserve">/centre; </w:t>
      </w:r>
    </w:p>
    <w:p w14:paraId="0EBE5C14" w14:textId="77777777" w:rsidR="00FC5C1B" w:rsidRPr="002E135E" w:rsidRDefault="00FC5C1B" w:rsidP="00FC5C1B">
      <w:pPr>
        <w:numPr>
          <w:ilvl w:val="0"/>
          <w:numId w:val="9"/>
        </w:numPr>
        <w:spacing w:before="0" w:after="0"/>
        <w:rPr>
          <w:rFonts w:ascii="Century Gothic" w:eastAsia="Times New Roman" w:hAnsi="Century Gothic" w:cs="Arial"/>
        </w:rPr>
      </w:pPr>
      <w:r w:rsidRPr="002E135E">
        <w:rPr>
          <w:rFonts w:ascii="Century Gothic" w:eastAsia="Times New Roman" w:hAnsi="Century Gothic" w:cs="Arial"/>
        </w:rPr>
        <w:t xml:space="preserve">involves unreasonable timeframes; or </w:t>
      </w:r>
    </w:p>
    <w:p w14:paraId="37DF1946" w14:textId="77777777" w:rsidR="00FC5C1B" w:rsidRPr="002E135E" w:rsidRDefault="00FC5C1B" w:rsidP="00FC5C1B">
      <w:pPr>
        <w:numPr>
          <w:ilvl w:val="0"/>
          <w:numId w:val="9"/>
        </w:numPr>
        <w:spacing w:before="0" w:after="0"/>
        <w:rPr>
          <w:rFonts w:ascii="Century Gothic" w:eastAsia="Times New Roman" w:hAnsi="Century Gothic" w:cs="Arial"/>
        </w:rPr>
      </w:pPr>
      <w:proofErr w:type="gramStart"/>
      <w:r w:rsidRPr="002E135E">
        <w:rPr>
          <w:rFonts w:ascii="Century Gothic" w:eastAsia="Times New Roman" w:hAnsi="Century Gothic" w:cs="Arial"/>
        </w:rPr>
        <w:t>affects</w:t>
      </w:r>
      <w:proofErr w:type="gramEnd"/>
      <w:r w:rsidRPr="002E135E">
        <w:rPr>
          <w:rFonts w:ascii="Century Gothic" w:eastAsia="Times New Roman" w:hAnsi="Century Gothic" w:cs="Arial"/>
        </w:rPr>
        <w:t xml:space="preserve"> the security and integrity of the assessment. </w:t>
      </w:r>
    </w:p>
    <w:p w14:paraId="04D95A24" w14:textId="77777777" w:rsidR="00FC5C1B" w:rsidRPr="002E135E" w:rsidRDefault="00FC5C1B" w:rsidP="00987CF3">
      <w:pPr>
        <w:rPr>
          <w:rFonts w:ascii="Century Gothic" w:eastAsia="Times New Roman" w:hAnsi="Century Gothic" w:cs="Arial"/>
        </w:rPr>
      </w:pPr>
      <w:r w:rsidRPr="002E135E">
        <w:rPr>
          <w:rFonts w:ascii="Century Gothic" w:eastAsia="Times New Roman" w:hAnsi="Century Gothic" w:cs="Arial"/>
        </w:rPr>
        <w:t xml:space="preserve">This is because the adjustment is not ‘reasonable’. </w:t>
      </w:r>
    </w:p>
    <w:p w14:paraId="2163C40A" w14:textId="77777777" w:rsidR="00FC5C1B" w:rsidRPr="002E135E" w:rsidRDefault="00FC5C1B" w:rsidP="00FC5C1B">
      <w:pPr>
        <w:spacing w:before="100" w:beforeAutospacing="1" w:after="100" w:afterAutospacing="1"/>
        <w:rPr>
          <w:rFonts w:ascii="Century Gothic" w:hAnsi="Century Gothic" w:cs="Arial"/>
          <w:b/>
          <w:bCs/>
          <w:color w:val="FF0000"/>
          <w:u w:val="single"/>
        </w:rPr>
      </w:pPr>
      <w:r w:rsidRPr="002E135E">
        <w:rPr>
          <w:rFonts w:ascii="Century Gothic" w:hAnsi="Century Gothic" w:cs="Arial"/>
          <w:b/>
          <w:bCs/>
          <w:color w:val="FF0000"/>
          <w:u w:val="single"/>
        </w:rPr>
        <w:t>Special Considerations</w:t>
      </w:r>
    </w:p>
    <w:p w14:paraId="0B646683" w14:textId="77777777" w:rsidR="00AA4154" w:rsidRPr="002E135E" w:rsidRDefault="00FC5C1B" w:rsidP="00FC5C1B">
      <w:pPr>
        <w:spacing w:before="100" w:beforeAutospacing="1" w:after="100" w:afterAutospacing="1"/>
        <w:rPr>
          <w:rFonts w:ascii="Century Gothic" w:hAnsi="Century Gothic" w:cs="Arial"/>
        </w:rPr>
      </w:pPr>
      <w:r w:rsidRPr="002E135E">
        <w:rPr>
          <w:rFonts w:ascii="Century Gothic" w:hAnsi="Century Gothic" w:cs="Arial"/>
        </w:rPr>
        <w:lastRenderedPageBreak/>
        <w:t>Special consideration is a process which may result in an adjustment to the results of learners who have not been able to demonstrate attainment because of temporary illness, indisposition or an unforeseen incident at the time of the assessment.</w:t>
      </w:r>
    </w:p>
    <w:p w14:paraId="4F952AC8" w14:textId="77777777" w:rsidR="00987CF3" w:rsidRPr="002E135E" w:rsidRDefault="00987CF3" w:rsidP="00FC5C1B">
      <w:pPr>
        <w:spacing w:before="100" w:beforeAutospacing="1" w:after="100" w:afterAutospacing="1"/>
        <w:rPr>
          <w:rFonts w:ascii="Century Gothic" w:hAnsi="Century Gothic" w:cs="Arial"/>
          <w:b/>
          <w:bCs/>
          <w:color w:val="FF0000"/>
          <w:u w:val="single"/>
        </w:rPr>
      </w:pPr>
    </w:p>
    <w:p w14:paraId="25BD6FE1" w14:textId="77777777" w:rsidR="00A74D02" w:rsidRPr="002E135E" w:rsidRDefault="00A74D02" w:rsidP="00A74D02">
      <w:pPr>
        <w:pStyle w:val="Headinglevel1"/>
        <w:spacing w:before="240" w:line="276" w:lineRule="auto"/>
        <w:rPr>
          <w:rFonts w:ascii="Century Gothic" w:hAnsi="Century Gothic" w:cs="Arial"/>
          <w:color w:val="FF0000"/>
        </w:rPr>
      </w:pPr>
      <w:bookmarkStart w:id="17" w:name="_Toc146020598"/>
      <w:r w:rsidRPr="002E135E">
        <w:rPr>
          <w:rFonts w:ascii="Century Gothic" w:hAnsi="Century Gothic" w:cs="Arial"/>
          <w:color w:val="FF0000"/>
        </w:rPr>
        <w:t xml:space="preserve">Purpose of the </w:t>
      </w:r>
      <w:r w:rsidR="00A16E4D" w:rsidRPr="002E135E">
        <w:rPr>
          <w:rFonts w:ascii="Century Gothic" w:hAnsi="Century Gothic" w:cs="Arial"/>
          <w:color w:val="FF0000"/>
        </w:rPr>
        <w:t>P</w:t>
      </w:r>
      <w:r w:rsidRPr="002E135E">
        <w:rPr>
          <w:rFonts w:ascii="Century Gothic" w:hAnsi="Century Gothic" w:cs="Arial"/>
          <w:color w:val="FF0000"/>
        </w:rPr>
        <w:t>olicy</w:t>
      </w:r>
      <w:bookmarkEnd w:id="9"/>
      <w:bookmarkEnd w:id="10"/>
      <w:bookmarkEnd w:id="11"/>
      <w:bookmarkEnd w:id="12"/>
      <w:bookmarkEnd w:id="13"/>
      <w:bookmarkEnd w:id="17"/>
    </w:p>
    <w:p w14:paraId="6F79DEBB" w14:textId="359B958C" w:rsidR="00A74D02" w:rsidRPr="002E135E" w:rsidRDefault="00A74D02" w:rsidP="00357D45">
      <w:pPr>
        <w:spacing w:after="0" w:line="276" w:lineRule="auto"/>
        <w:jc w:val="both"/>
        <w:rPr>
          <w:rFonts w:ascii="Century Gothic" w:hAnsi="Century Gothic" w:cs="Arial"/>
          <w:i/>
          <w:sz w:val="20"/>
          <w:szCs w:val="20"/>
        </w:rPr>
      </w:pPr>
      <w:r w:rsidRPr="002E135E">
        <w:rPr>
          <w:rFonts w:ascii="Century Gothic" w:hAnsi="Century Gothic" w:cs="Arial"/>
          <w:szCs w:val="24"/>
        </w:rPr>
        <w:t xml:space="preserve">The purpose of this policy is to </w:t>
      </w:r>
      <w:r w:rsidR="00357D45" w:rsidRPr="002E135E">
        <w:rPr>
          <w:rFonts w:ascii="Century Gothic" w:hAnsi="Century Gothic" w:cs="Arial"/>
        </w:rPr>
        <w:t>outline</w:t>
      </w:r>
      <w:r w:rsidR="00FB361C" w:rsidRPr="002E135E">
        <w:rPr>
          <w:rFonts w:ascii="Century Gothic" w:hAnsi="Century Gothic" w:cs="Arial"/>
        </w:rPr>
        <w:t xml:space="preserve"> the responsibilities of </w:t>
      </w:r>
      <w:r w:rsidR="00F96D55" w:rsidRPr="002E135E">
        <w:rPr>
          <w:rFonts w:ascii="Century Gothic" w:hAnsi="Century Gothic" w:cs="Arial"/>
        </w:rPr>
        <w:t>Larches Sports and Education Centre</w:t>
      </w:r>
      <w:r w:rsidRPr="002E135E">
        <w:rPr>
          <w:rFonts w:ascii="Century Gothic" w:hAnsi="Century Gothic" w:cs="Arial"/>
        </w:rPr>
        <w:t xml:space="preserve"> </w:t>
      </w:r>
      <w:r w:rsidR="00357D45" w:rsidRPr="002E135E">
        <w:rPr>
          <w:rFonts w:ascii="Century Gothic" w:hAnsi="Century Gothic" w:cs="Arial"/>
        </w:rPr>
        <w:t xml:space="preserve">to </w:t>
      </w:r>
      <w:r w:rsidRPr="002E135E">
        <w:rPr>
          <w:rFonts w:ascii="Century Gothic" w:hAnsi="Century Gothic" w:cs="Arial"/>
        </w:rPr>
        <w:t>ha</w:t>
      </w:r>
      <w:r w:rsidR="00357D45" w:rsidRPr="002E135E">
        <w:rPr>
          <w:rFonts w:ascii="Century Gothic" w:hAnsi="Century Gothic" w:cs="Arial"/>
        </w:rPr>
        <w:t>ve</w:t>
      </w:r>
      <w:r w:rsidRPr="002E135E">
        <w:rPr>
          <w:rFonts w:ascii="Century Gothic" w:hAnsi="Century Gothic" w:cs="Arial"/>
        </w:rPr>
        <w:t xml:space="preserve"> a written record which clearly shows the centre is </w:t>
      </w:r>
      <w:r w:rsidR="00357D45" w:rsidRPr="002E135E">
        <w:rPr>
          <w:rFonts w:ascii="Century Gothic" w:hAnsi="Century Gothic" w:cs="Arial"/>
        </w:rPr>
        <w:t>implementing</w:t>
      </w:r>
      <w:r w:rsidRPr="002E135E">
        <w:rPr>
          <w:rFonts w:ascii="Century Gothic" w:hAnsi="Century Gothic" w:cs="Arial"/>
        </w:rPr>
        <w:t xml:space="preserve"> </w:t>
      </w:r>
      <w:r w:rsidR="00194706" w:rsidRPr="002E135E">
        <w:rPr>
          <w:rFonts w:ascii="Century Gothic" w:hAnsi="Century Gothic" w:cs="Arial"/>
        </w:rPr>
        <w:t>an</w:t>
      </w:r>
      <w:r w:rsidRPr="002E135E">
        <w:rPr>
          <w:rFonts w:ascii="Century Gothic" w:hAnsi="Century Gothic" w:cs="Arial"/>
        </w:rPr>
        <w:t xml:space="preserve"> access arrangements process and is </w:t>
      </w:r>
      <w:r w:rsidR="00357D45" w:rsidRPr="002E135E">
        <w:rPr>
          <w:rFonts w:ascii="Century Gothic" w:hAnsi="Century Gothic" w:cs="Arial"/>
        </w:rPr>
        <w:t>applying</w:t>
      </w:r>
      <w:r w:rsidR="00357D45" w:rsidRPr="002E135E">
        <w:rPr>
          <w:rFonts w:ascii="Century Gothic" w:hAnsi="Century Gothic" w:cs="Arial"/>
          <w:iCs/>
        </w:rPr>
        <w:t xml:space="preserve"> actions that help to reduce the effect of a disability o</w:t>
      </w:r>
      <w:r w:rsidR="00A16E4D" w:rsidRPr="002E135E">
        <w:rPr>
          <w:rFonts w:ascii="Century Gothic" w:hAnsi="Century Gothic" w:cs="Arial"/>
          <w:iCs/>
        </w:rPr>
        <w:t>r</w:t>
      </w:r>
      <w:r w:rsidR="00357D45" w:rsidRPr="002E135E">
        <w:rPr>
          <w:rFonts w:ascii="Century Gothic" w:hAnsi="Century Gothic" w:cs="Arial"/>
          <w:iCs/>
        </w:rPr>
        <w:t xml:space="preserve"> difficulty.</w:t>
      </w:r>
    </w:p>
    <w:p w14:paraId="31629D87" w14:textId="692B37CF" w:rsidR="00A74D02" w:rsidRPr="002E135E" w:rsidRDefault="00A74D02" w:rsidP="00A74D02">
      <w:pPr>
        <w:tabs>
          <w:tab w:val="left" w:pos="10490"/>
        </w:tabs>
        <w:spacing w:line="276" w:lineRule="auto"/>
        <w:ind w:right="-11"/>
        <w:jc w:val="both"/>
        <w:rPr>
          <w:rFonts w:ascii="Century Gothic" w:eastAsia="Times New Roman" w:hAnsi="Century Gothic" w:cs="Arial"/>
        </w:rPr>
      </w:pPr>
      <w:r w:rsidRPr="002E135E">
        <w:rPr>
          <w:rFonts w:ascii="Century Gothic" w:eastAsia="Times New Roman" w:hAnsi="Century Gothic" w:cs="Arial"/>
        </w:rPr>
        <w:t>This polic</w:t>
      </w:r>
      <w:r w:rsidR="00F96D55" w:rsidRPr="002E135E">
        <w:rPr>
          <w:rFonts w:ascii="Century Gothic" w:eastAsia="Times New Roman" w:hAnsi="Century Gothic" w:cs="Arial"/>
        </w:rPr>
        <w:t>y is maintained and held by Jimmy Moon (Head of Centre)</w:t>
      </w:r>
      <w:r w:rsidRPr="002E135E">
        <w:rPr>
          <w:rFonts w:ascii="Century Gothic" w:eastAsia="Times New Roman" w:hAnsi="Century Gothic" w:cs="Arial"/>
        </w:rPr>
        <w:t xml:space="preserve"> alongside the individual files/e-folders of each </w:t>
      </w:r>
      <w:r w:rsidR="00A16E4D" w:rsidRPr="002E135E">
        <w:rPr>
          <w:rFonts w:ascii="Century Gothic" w:eastAsia="Times New Roman" w:hAnsi="Century Gothic" w:cs="Arial"/>
        </w:rPr>
        <w:t>learner</w:t>
      </w:r>
      <w:r w:rsidRPr="002E135E">
        <w:rPr>
          <w:rFonts w:ascii="Century Gothic" w:eastAsia="Times New Roman" w:hAnsi="Century Gothic" w:cs="Arial"/>
        </w:rPr>
        <w:t xml:space="preserve">. Each file/e-folder contains detailed records of all the essential information that is required to be held according to the regulations. </w:t>
      </w:r>
      <w:r w:rsidR="00357D45" w:rsidRPr="002E135E">
        <w:rPr>
          <w:rFonts w:ascii="Century Gothic" w:eastAsia="Times New Roman" w:hAnsi="Century Gothic" w:cs="Arial"/>
        </w:rPr>
        <w:t>All records must comply with GDPR regulations.</w:t>
      </w:r>
    </w:p>
    <w:p w14:paraId="2F42059B" w14:textId="77777777" w:rsidR="00A74D02" w:rsidRPr="002E135E" w:rsidRDefault="00A74D02" w:rsidP="00A74D02">
      <w:pPr>
        <w:spacing w:line="276" w:lineRule="auto"/>
        <w:jc w:val="both"/>
        <w:rPr>
          <w:rFonts w:ascii="Century Gothic" w:hAnsi="Century Gothic" w:cs="Arial"/>
        </w:rPr>
      </w:pPr>
      <w:r w:rsidRPr="002E135E">
        <w:rPr>
          <w:rFonts w:ascii="Century Gothic" w:hAnsi="Century Gothic" w:cs="Arial"/>
          <w:szCs w:val="24"/>
        </w:rPr>
        <w:t xml:space="preserve">The policy is annually reviewed to ensure that processes are carried out in accordance with </w:t>
      </w:r>
      <w:r w:rsidR="00E61F39" w:rsidRPr="002E135E">
        <w:rPr>
          <w:rFonts w:ascii="Century Gothic" w:hAnsi="Century Gothic" w:cs="Arial"/>
          <w:szCs w:val="24"/>
        </w:rPr>
        <w:t>current policy and regulation.</w:t>
      </w:r>
      <w:r w:rsidRPr="002E135E">
        <w:rPr>
          <w:rFonts w:ascii="Century Gothic" w:hAnsi="Century Gothic" w:cs="Arial"/>
        </w:rPr>
        <w:t xml:space="preserve"> </w:t>
      </w:r>
    </w:p>
    <w:p w14:paraId="12DDE2AE" w14:textId="77777777" w:rsidR="00A74D02" w:rsidRPr="002E135E" w:rsidRDefault="00A74D02" w:rsidP="00A74D02">
      <w:pPr>
        <w:pStyle w:val="Headinglevel1"/>
        <w:spacing w:before="240" w:line="276" w:lineRule="auto"/>
        <w:rPr>
          <w:rFonts w:ascii="Century Gothic" w:hAnsi="Century Gothic" w:cs="Arial"/>
          <w:color w:val="FF0000"/>
        </w:rPr>
      </w:pPr>
      <w:bookmarkStart w:id="18" w:name="_Toc146020599"/>
      <w:bookmarkStart w:id="19" w:name="_Toc490083854"/>
      <w:bookmarkStart w:id="20" w:name="_Toc496088793"/>
      <w:bookmarkStart w:id="21" w:name="_Toc523473884"/>
      <w:bookmarkStart w:id="22" w:name="_Toc22304700"/>
      <w:bookmarkStart w:id="23" w:name="_Toc22487028"/>
      <w:bookmarkStart w:id="24" w:name="_Toc22487147"/>
      <w:bookmarkStart w:id="25" w:name="_Toc443593739"/>
      <w:bookmarkStart w:id="26" w:name="_Toc466921640"/>
      <w:bookmarkEnd w:id="14"/>
      <w:bookmarkEnd w:id="15"/>
      <w:bookmarkEnd w:id="16"/>
      <w:r w:rsidRPr="002E135E">
        <w:rPr>
          <w:rFonts w:ascii="Century Gothic" w:hAnsi="Century Gothic" w:cs="Arial"/>
          <w:color w:val="FF0000"/>
        </w:rPr>
        <w:t xml:space="preserve">General </w:t>
      </w:r>
      <w:r w:rsidR="00A16E4D" w:rsidRPr="002E135E">
        <w:rPr>
          <w:rFonts w:ascii="Century Gothic" w:hAnsi="Century Gothic" w:cs="Arial"/>
          <w:color w:val="FF0000"/>
        </w:rPr>
        <w:t>P</w:t>
      </w:r>
      <w:r w:rsidRPr="002E135E">
        <w:rPr>
          <w:rFonts w:ascii="Century Gothic" w:hAnsi="Century Gothic" w:cs="Arial"/>
          <w:color w:val="FF0000"/>
        </w:rPr>
        <w:t>rinciples</w:t>
      </w:r>
      <w:bookmarkEnd w:id="18"/>
    </w:p>
    <w:p w14:paraId="654DD8BE" w14:textId="77777777" w:rsidR="00A74D02" w:rsidRPr="002E135E" w:rsidRDefault="00EA6A34" w:rsidP="00042097">
      <w:pPr>
        <w:rPr>
          <w:rFonts w:ascii="Century Gothic" w:eastAsia="Times New Roman" w:hAnsi="Century Gothic" w:cs="Arial"/>
        </w:rPr>
      </w:pPr>
      <w:r w:rsidRPr="002E135E">
        <w:rPr>
          <w:rFonts w:ascii="Century Gothic" w:eastAsia="Times New Roman" w:hAnsi="Century Gothic" w:cs="Arial"/>
        </w:rPr>
        <w:t>A</w:t>
      </w:r>
      <w:r w:rsidR="00A74D02" w:rsidRPr="002E135E">
        <w:rPr>
          <w:rFonts w:ascii="Century Gothic" w:eastAsia="Times New Roman" w:hAnsi="Century Gothic" w:cs="Arial"/>
        </w:rPr>
        <w:t xml:space="preserve"> </w:t>
      </w:r>
      <w:r w:rsidRPr="002E135E">
        <w:rPr>
          <w:rFonts w:ascii="Century Gothic" w:eastAsia="Times New Roman" w:hAnsi="Century Gothic" w:cs="Arial"/>
        </w:rPr>
        <w:t>reasonable adjustment</w:t>
      </w:r>
      <w:r w:rsidR="00A74D02" w:rsidRPr="002E135E">
        <w:rPr>
          <w:rFonts w:ascii="Century Gothic" w:eastAsia="Times New Roman" w:hAnsi="Century Gothic" w:cs="Arial"/>
        </w:rPr>
        <w:t xml:space="preserve"> is to ensure, where possible, that barriers to assessment are removed for a </w:t>
      </w:r>
      <w:r w:rsidR="00A16E4D" w:rsidRPr="002E135E">
        <w:rPr>
          <w:rFonts w:ascii="Century Gothic" w:eastAsia="Times New Roman" w:hAnsi="Century Gothic" w:cs="Arial"/>
        </w:rPr>
        <w:t>learner</w:t>
      </w:r>
      <w:r w:rsidR="00A74D02" w:rsidRPr="002E135E">
        <w:rPr>
          <w:rFonts w:ascii="Century Gothic" w:eastAsia="Times New Roman" w:hAnsi="Century Gothic" w:cs="Arial"/>
        </w:rPr>
        <w:t xml:space="preserve"> preventing </w:t>
      </w:r>
      <w:r w:rsidRPr="002E135E">
        <w:rPr>
          <w:rFonts w:ascii="Century Gothic" w:eastAsia="Times New Roman" w:hAnsi="Century Gothic" w:cs="Arial"/>
        </w:rPr>
        <w:t>them</w:t>
      </w:r>
      <w:r w:rsidR="00A74D02" w:rsidRPr="002E135E">
        <w:rPr>
          <w:rFonts w:ascii="Century Gothic" w:eastAsia="Times New Roman" w:hAnsi="Century Gothic" w:cs="Arial"/>
        </w:rPr>
        <w:t xml:space="preserve"> from being placed at a substantial disadvantage due to persistent and significant difficulties. The integrity of the assessment is maintained, whilst at the same time providing access to assessments for </w:t>
      </w:r>
      <w:r w:rsidRPr="002E135E">
        <w:rPr>
          <w:rFonts w:ascii="Century Gothic" w:eastAsia="Times New Roman" w:hAnsi="Century Gothic" w:cs="Arial"/>
        </w:rPr>
        <w:t>the</w:t>
      </w:r>
      <w:r w:rsidR="00A74D02" w:rsidRPr="002E135E">
        <w:rPr>
          <w:rFonts w:ascii="Century Gothic" w:eastAsia="Times New Roman" w:hAnsi="Century Gothic" w:cs="Arial"/>
        </w:rPr>
        <w:t xml:space="preserve"> </w:t>
      </w:r>
      <w:r w:rsidRPr="002E135E">
        <w:rPr>
          <w:rFonts w:ascii="Century Gothic" w:eastAsia="Times New Roman" w:hAnsi="Century Gothic" w:cs="Arial"/>
        </w:rPr>
        <w:t>learner</w:t>
      </w:r>
      <w:r w:rsidR="00A74D02" w:rsidRPr="002E135E">
        <w:rPr>
          <w:rFonts w:ascii="Century Gothic" w:eastAsia="Times New Roman" w:hAnsi="Century Gothic" w:cs="Arial"/>
        </w:rPr>
        <w:t xml:space="preserve">. </w:t>
      </w:r>
    </w:p>
    <w:p w14:paraId="7680DF51" w14:textId="77777777" w:rsidR="00A74D02" w:rsidRPr="002E135E" w:rsidRDefault="00A74D02" w:rsidP="00C74EB0">
      <w:pPr>
        <w:jc w:val="both"/>
        <w:rPr>
          <w:rFonts w:ascii="Century Gothic" w:eastAsia="Times New Roman" w:hAnsi="Century Gothic" w:cs="Arial"/>
        </w:rPr>
      </w:pPr>
      <w:r w:rsidRPr="002E135E">
        <w:rPr>
          <w:rFonts w:ascii="Century Gothic" w:eastAsia="Times New Roman" w:hAnsi="Century Gothic" w:cs="Arial"/>
        </w:rPr>
        <w:t xml:space="preserve">The </w:t>
      </w:r>
      <w:r w:rsidR="007940EE" w:rsidRPr="002E135E">
        <w:rPr>
          <w:rFonts w:ascii="Century Gothic" w:eastAsia="Times New Roman" w:hAnsi="Century Gothic" w:cs="Arial"/>
        </w:rPr>
        <w:t>Head of Centre</w:t>
      </w:r>
      <w:r w:rsidRPr="002E135E">
        <w:rPr>
          <w:rFonts w:ascii="Century Gothic" w:eastAsia="Times New Roman" w:hAnsi="Century Gothic" w:cs="Arial"/>
        </w:rPr>
        <w:t xml:space="preserve"> must ensure that the proposed access arrangement does not disadvantage or advantage the </w:t>
      </w:r>
      <w:r w:rsidR="00A16E4D" w:rsidRPr="002E135E">
        <w:rPr>
          <w:rFonts w:ascii="Century Gothic" w:eastAsia="Times New Roman" w:hAnsi="Century Gothic" w:cs="Arial"/>
        </w:rPr>
        <w:t>learner</w:t>
      </w:r>
      <w:r w:rsidRPr="002E135E">
        <w:rPr>
          <w:rFonts w:ascii="Century Gothic" w:eastAsia="Times New Roman" w:hAnsi="Century Gothic" w:cs="Arial"/>
        </w:rPr>
        <w:t>.</w:t>
      </w:r>
    </w:p>
    <w:p w14:paraId="49040EA7" w14:textId="77777777" w:rsidR="00A74D02" w:rsidRPr="002E135E" w:rsidRDefault="00EA6A34" w:rsidP="00C74EB0">
      <w:pPr>
        <w:jc w:val="both"/>
        <w:rPr>
          <w:rFonts w:ascii="Century Gothic" w:hAnsi="Century Gothic" w:cs="Arial"/>
        </w:rPr>
      </w:pPr>
      <w:r w:rsidRPr="002E135E">
        <w:rPr>
          <w:rFonts w:ascii="Century Gothic" w:eastAsia="Times New Roman" w:hAnsi="Century Gothic" w:cs="Arial"/>
        </w:rPr>
        <w:t>Reasonable adjustments must</w:t>
      </w:r>
      <w:r w:rsidR="00A74D02" w:rsidRPr="002E135E">
        <w:rPr>
          <w:rFonts w:ascii="Century Gothic" w:eastAsia="Times New Roman" w:hAnsi="Century Gothic" w:cs="Arial"/>
        </w:rPr>
        <w:t xml:space="preserve"> always be approved </w:t>
      </w:r>
      <w:r w:rsidR="00A74D02" w:rsidRPr="002E135E">
        <w:rPr>
          <w:rFonts w:ascii="Century Gothic" w:eastAsia="Times New Roman" w:hAnsi="Century Gothic" w:cs="Arial"/>
          <w:b/>
          <w:bCs/>
        </w:rPr>
        <w:t>before</w:t>
      </w:r>
      <w:r w:rsidR="00A74D02" w:rsidRPr="002E135E">
        <w:rPr>
          <w:rFonts w:ascii="Century Gothic" w:eastAsia="Times New Roman" w:hAnsi="Century Gothic" w:cs="Arial"/>
        </w:rPr>
        <w:t xml:space="preserve"> an assessment. The arrangement(s) put in place must reflect the support given to the </w:t>
      </w:r>
      <w:r w:rsidR="00A16E4D" w:rsidRPr="002E135E">
        <w:rPr>
          <w:rFonts w:ascii="Century Gothic" w:eastAsia="Times New Roman" w:hAnsi="Century Gothic" w:cs="Arial"/>
        </w:rPr>
        <w:t>learner</w:t>
      </w:r>
      <w:r w:rsidR="00A74D02" w:rsidRPr="002E135E">
        <w:rPr>
          <w:rFonts w:ascii="Century Gothic" w:eastAsia="Times New Roman" w:hAnsi="Century Gothic" w:cs="Arial"/>
        </w:rPr>
        <w:t xml:space="preserve"> in the centre.</w:t>
      </w:r>
      <w:r w:rsidR="00A74D02" w:rsidRPr="002E135E">
        <w:rPr>
          <w:rFonts w:ascii="Century Gothic" w:hAnsi="Century Gothic" w:cs="Arial"/>
        </w:rPr>
        <w:t xml:space="preserve"> </w:t>
      </w:r>
    </w:p>
    <w:p w14:paraId="3BB2E99F" w14:textId="77777777" w:rsidR="00EA6A34" w:rsidRPr="002E135E" w:rsidRDefault="00EA6A34" w:rsidP="00EA6A34">
      <w:pPr>
        <w:autoSpaceDE w:val="0"/>
        <w:autoSpaceDN w:val="0"/>
        <w:rPr>
          <w:rFonts w:ascii="Century Gothic" w:eastAsiaTheme="minorHAnsi" w:hAnsi="Century Gothic" w:cs="Arial"/>
        </w:rPr>
      </w:pPr>
      <w:r w:rsidRPr="002E135E">
        <w:rPr>
          <w:rFonts w:ascii="Century Gothic" w:hAnsi="Century Gothic" w:cs="Arial"/>
        </w:rPr>
        <w:t xml:space="preserve">Special consideration cannot give a learner an unfair advantage, nor must its use cause the user of a certificate to be misled regarding a learner’s achievement. The learner’s results must reflect real achievement in assessment and not potential ability. To this end, special considerations can only be a small post-assessment adjustment to the outcome. </w:t>
      </w:r>
    </w:p>
    <w:p w14:paraId="59B94124" w14:textId="77777777" w:rsidR="00EA6A34" w:rsidRPr="002E135E" w:rsidRDefault="00EA6A34" w:rsidP="00C74EB0">
      <w:pPr>
        <w:jc w:val="both"/>
        <w:rPr>
          <w:rFonts w:ascii="Century Gothic" w:eastAsia="Times New Roman" w:hAnsi="Century Gothic" w:cs="Arial"/>
        </w:rPr>
      </w:pPr>
    </w:p>
    <w:p w14:paraId="3304EDC0" w14:textId="77777777" w:rsidR="00A74D02" w:rsidRPr="002E135E" w:rsidRDefault="00A74D02" w:rsidP="00A74D02">
      <w:pPr>
        <w:pStyle w:val="Headinglevel1"/>
        <w:spacing w:before="240" w:line="276" w:lineRule="auto"/>
        <w:rPr>
          <w:rFonts w:ascii="Century Gothic" w:hAnsi="Century Gothic" w:cs="Arial"/>
          <w:color w:val="FF0000"/>
        </w:rPr>
      </w:pPr>
      <w:bookmarkStart w:id="27" w:name="_Toc443593725"/>
      <w:bookmarkStart w:id="28" w:name="_Toc466921631"/>
      <w:bookmarkStart w:id="29" w:name="_Toc490083855"/>
      <w:bookmarkStart w:id="30" w:name="_Toc496088794"/>
      <w:bookmarkStart w:id="31" w:name="_Toc523473885"/>
      <w:bookmarkStart w:id="32" w:name="_Toc22304701"/>
      <w:bookmarkStart w:id="33" w:name="_Toc22487029"/>
      <w:bookmarkStart w:id="34" w:name="_Toc22487148"/>
      <w:bookmarkStart w:id="35" w:name="_Toc146020600"/>
      <w:bookmarkEnd w:id="19"/>
      <w:bookmarkEnd w:id="20"/>
      <w:bookmarkEnd w:id="21"/>
      <w:bookmarkEnd w:id="22"/>
      <w:bookmarkEnd w:id="23"/>
      <w:bookmarkEnd w:id="24"/>
      <w:r w:rsidRPr="002E135E">
        <w:rPr>
          <w:rFonts w:ascii="Century Gothic" w:hAnsi="Century Gothic" w:cs="Arial"/>
          <w:color w:val="FF0000"/>
        </w:rPr>
        <w:t xml:space="preserve">The </w:t>
      </w:r>
      <w:r w:rsidR="00A16E4D" w:rsidRPr="002E135E">
        <w:rPr>
          <w:rFonts w:ascii="Century Gothic" w:hAnsi="Century Gothic" w:cs="Arial"/>
          <w:color w:val="FF0000"/>
        </w:rPr>
        <w:t>A</w:t>
      </w:r>
      <w:r w:rsidRPr="002E135E">
        <w:rPr>
          <w:rFonts w:ascii="Century Gothic" w:hAnsi="Century Gothic" w:cs="Arial"/>
          <w:color w:val="FF0000"/>
        </w:rPr>
        <w:t xml:space="preserve">ssessment </w:t>
      </w:r>
      <w:r w:rsidR="00A16E4D" w:rsidRPr="002E135E">
        <w:rPr>
          <w:rFonts w:ascii="Century Gothic" w:hAnsi="Century Gothic" w:cs="Arial"/>
          <w:color w:val="FF0000"/>
        </w:rPr>
        <w:t>P</w:t>
      </w:r>
      <w:r w:rsidRPr="002E135E">
        <w:rPr>
          <w:rFonts w:ascii="Century Gothic" w:hAnsi="Century Gothic" w:cs="Arial"/>
          <w:color w:val="FF0000"/>
        </w:rPr>
        <w:t>rocess</w:t>
      </w:r>
      <w:bookmarkEnd w:id="27"/>
      <w:bookmarkEnd w:id="28"/>
      <w:bookmarkEnd w:id="29"/>
      <w:bookmarkEnd w:id="30"/>
      <w:bookmarkEnd w:id="31"/>
      <w:bookmarkEnd w:id="32"/>
      <w:bookmarkEnd w:id="33"/>
      <w:bookmarkEnd w:id="34"/>
      <w:bookmarkEnd w:id="35"/>
    </w:p>
    <w:p w14:paraId="5F21B943" w14:textId="3A08E4D4" w:rsidR="00A16E4D" w:rsidRPr="002E135E" w:rsidRDefault="00A74D02" w:rsidP="00B331A8">
      <w:pPr>
        <w:spacing w:line="276" w:lineRule="auto"/>
        <w:rPr>
          <w:rFonts w:ascii="Century Gothic" w:hAnsi="Century Gothic" w:cs="Arial"/>
          <w:szCs w:val="24"/>
        </w:rPr>
      </w:pPr>
      <w:r w:rsidRPr="002E135E">
        <w:rPr>
          <w:rFonts w:ascii="Century Gothic" w:hAnsi="Century Gothic" w:cs="Arial"/>
          <w:szCs w:val="24"/>
        </w:rPr>
        <w:t xml:space="preserve">Assessments </w:t>
      </w:r>
      <w:r w:rsidR="00EA6A34" w:rsidRPr="002E135E">
        <w:rPr>
          <w:rFonts w:ascii="Century Gothic" w:hAnsi="Century Gothic" w:cs="Arial"/>
          <w:szCs w:val="24"/>
        </w:rPr>
        <w:t>will</w:t>
      </w:r>
      <w:r w:rsidR="00482402" w:rsidRPr="002E135E">
        <w:rPr>
          <w:rFonts w:ascii="Century Gothic" w:hAnsi="Century Gothic" w:cs="Arial"/>
          <w:szCs w:val="24"/>
        </w:rPr>
        <w:t xml:space="preserve"> be carried out by a suitable staff member</w:t>
      </w:r>
      <w:r w:rsidR="00F96D55" w:rsidRPr="002E135E">
        <w:rPr>
          <w:rFonts w:ascii="Century Gothic" w:hAnsi="Century Gothic" w:cs="Arial"/>
          <w:szCs w:val="24"/>
        </w:rPr>
        <w:t>/Paul Wallace</w:t>
      </w:r>
      <w:r w:rsidR="00482402" w:rsidRPr="002E135E">
        <w:rPr>
          <w:rFonts w:ascii="Century Gothic" w:hAnsi="Century Gothic" w:cs="Arial"/>
          <w:szCs w:val="24"/>
        </w:rPr>
        <w:t xml:space="preserve"> who has been nominated by the Head of Centre. </w:t>
      </w:r>
      <w:bookmarkStart w:id="36" w:name="_Toc466921633"/>
      <w:bookmarkStart w:id="37" w:name="_Toc490083858"/>
      <w:bookmarkStart w:id="38" w:name="_Toc496088797"/>
    </w:p>
    <w:p w14:paraId="2BCD295D" w14:textId="6878C3C6" w:rsidR="00A16E4D" w:rsidRPr="002E135E" w:rsidRDefault="00A16E4D" w:rsidP="00B331A8">
      <w:pPr>
        <w:spacing w:line="276" w:lineRule="auto"/>
        <w:rPr>
          <w:rFonts w:ascii="Century Gothic" w:hAnsi="Century Gothic" w:cs="Arial"/>
        </w:rPr>
      </w:pPr>
      <w:r w:rsidRPr="002E135E">
        <w:rPr>
          <w:rFonts w:ascii="Century Gothic" w:hAnsi="Century Gothic" w:cs="Arial"/>
        </w:rPr>
        <w:t>Learners m</w:t>
      </w:r>
      <w:r w:rsidR="00F96D55" w:rsidRPr="002E135E">
        <w:rPr>
          <w:rFonts w:ascii="Century Gothic" w:hAnsi="Century Gothic" w:cs="Arial"/>
        </w:rPr>
        <w:t>ay be referred to LSEC</w:t>
      </w:r>
      <w:r w:rsidRPr="002E135E">
        <w:rPr>
          <w:rFonts w:ascii="Century Gothic" w:hAnsi="Century Gothic" w:cs="Arial"/>
        </w:rPr>
        <w:t xml:space="preserve"> with existing records of any disabilities or learning difficulties. Learners may also disclose information about any disabilities or learning difficulties once they have begun working with Assessors. Assessors may also identify a learning need once a learner is working on a programme.</w:t>
      </w:r>
    </w:p>
    <w:p w14:paraId="78B8AF72" w14:textId="77777777" w:rsidR="00A16E4D" w:rsidRPr="002E135E" w:rsidRDefault="00A16E4D" w:rsidP="00B331A8">
      <w:pPr>
        <w:spacing w:line="276" w:lineRule="auto"/>
        <w:rPr>
          <w:rFonts w:ascii="Century Gothic" w:hAnsi="Century Gothic" w:cs="Arial"/>
        </w:rPr>
      </w:pPr>
      <w:r w:rsidRPr="002E135E">
        <w:rPr>
          <w:rFonts w:ascii="Century Gothic" w:hAnsi="Century Gothic" w:cs="Arial"/>
        </w:rPr>
        <w:t>Assessors may use an assessment tool to determine the level a learner is working at.</w:t>
      </w:r>
    </w:p>
    <w:p w14:paraId="602FA05F" w14:textId="77777777" w:rsidR="00A16E4D" w:rsidRPr="002E135E" w:rsidRDefault="00A16E4D" w:rsidP="00B331A8">
      <w:pPr>
        <w:spacing w:line="276" w:lineRule="auto"/>
        <w:rPr>
          <w:rFonts w:ascii="Century Gothic" w:hAnsi="Century Gothic" w:cs="Arial"/>
        </w:rPr>
      </w:pPr>
      <w:r w:rsidRPr="002E135E">
        <w:rPr>
          <w:rFonts w:ascii="Century Gothic" w:hAnsi="Century Gothic" w:cs="Arial"/>
        </w:rPr>
        <w:t>Learners may request specific access arrangements that they have had before as their normal way of working or Assessors may apply access arrangements as required to enable the learner to fully access the qualification.</w:t>
      </w:r>
    </w:p>
    <w:p w14:paraId="1E285560" w14:textId="77777777" w:rsidR="00A16E4D" w:rsidRPr="002E135E" w:rsidRDefault="00A16E4D" w:rsidP="00B331A8">
      <w:pPr>
        <w:spacing w:line="276" w:lineRule="auto"/>
        <w:rPr>
          <w:rFonts w:ascii="Century Gothic" w:hAnsi="Century Gothic" w:cs="Arial"/>
        </w:rPr>
      </w:pPr>
      <w:r w:rsidRPr="002E135E">
        <w:rPr>
          <w:rFonts w:ascii="Century Gothic" w:hAnsi="Century Gothic" w:cs="Arial"/>
        </w:rPr>
        <w:lastRenderedPageBreak/>
        <w:t>Many reasonable adjustments that are frequently made are minor adjustments and do not require additional cost or time to prepare, e.g. the use of different coloured paper for written work, using a word processor or reading aloud.</w:t>
      </w:r>
    </w:p>
    <w:p w14:paraId="0C5FF6D4" w14:textId="77777777" w:rsidR="00A16E4D" w:rsidRPr="002E135E" w:rsidRDefault="00A16E4D" w:rsidP="00B331A8">
      <w:pPr>
        <w:spacing w:line="276" w:lineRule="auto"/>
        <w:rPr>
          <w:rFonts w:ascii="Century Gothic" w:hAnsi="Century Gothic" w:cs="Arial"/>
        </w:rPr>
      </w:pPr>
      <w:r w:rsidRPr="002E135E">
        <w:rPr>
          <w:rFonts w:ascii="Century Gothic" w:hAnsi="Century Gothic" w:cs="Arial"/>
        </w:rPr>
        <w:t>The centre will put arrangements in place to enable a learner, in extenuating circumstances, to complete the assessment and then achieve the unit/ qualification. Only when this is unsuccessful will an application for special consideration be made to the Awarding Organisation.</w:t>
      </w:r>
    </w:p>
    <w:p w14:paraId="588CEA45" w14:textId="77777777" w:rsidR="00A16E4D" w:rsidRPr="002E135E" w:rsidRDefault="00A16E4D" w:rsidP="00A16E4D">
      <w:pPr>
        <w:spacing w:line="276" w:lineRule="auto"/>
        <w:jc w:val="both"/>
        <w:rPr>
          <w:rFonts w:ascii="Century Gothic" w:hAnsi="Century Gothic" w:cs="Arial"/>
          <w:szCs w:val="24"/>
        </w:rPr>
      </w:pPr>
    </w:p>
    <w:p w14:paraId="602FCDA1" w14:textId="77777777" w:rsidR="005857C1" w:rsidRPr="002E135E" w:rsidRDefault="005857C1" w:rsidP="00A16E4D">
      <w:pPr>
        <w:spacing w:line="276" w:lineRule="auto"/>
        <w:jc w:val="both"/>
        <w:rPr>
          <w:rFonts w:ascii="Century Gothic" w:hAnsi="Century Gothic" w:cs="Arial"/>
          <w:szCs w:val="24"/>
        </w:rPr>
      </w:pPr>
    </w:p>
    <w:p w14:paraId="202283DF" w14:textId="77777777" w:rsidR="005857C1" w:rsidRPr="002E135E" w:rsidRDefault="005857C1" w:rsidP="00A16E4D">
      <w:pPr>
        <w:spacing w:line="276" w:lineRule="auto"/>
        <w:jc w:val="both"/>
        <w:rPr>
          <w:rFonts w:ascii="Century Gothic" w:hAnsi="Century Gothic" w:cs="Arial"/>
          <w:szCs w:val="24"/>
        </w:rPr>
      </w:pPr>
    </w:p>
    <w:p w14:paraId="31044F4E" w14:textId="77777777" w:rsidR="00A74D02" w:rsidRPr="002E135E" w:rsidRDefault="00A74D02" w:rsidP="00A16E4D">
      <w:pPr>
        <w:pStyle w:val="Headinglevel1"/>
        <w:spacing w:before="240" w:line="276" w:lineRule="auto"/>
        <w:rPr>
          <w:rFonts w:ascii="Century Gothic" w:hAnsi="Century Gothic" w:cs="Arial"/>
          <w:color w:val="FF0000"/>
        </w:rPr>
      </w:pPr>
      <w:bookmarkStart w:id="39" w:name="_Toc466921636"/>
      <w:bookmarkStart w:id="40" w:name="_Toc490083861"/>
      <w:bookmarkStart w:id="41" w:name="_Toc496088800"/>
      <w:bookmarkStart w:id="42" w:name="_Toc523473890"/>
      <w:bookmarkStart w:id="43" w:name="_Toc22304706"/>
      <w:bookmarkStart w:id="44" w:name="_Toc22487034"/>
      <w:bookmarkStart w:id="45" w:name="_Toc22487153"/>
      <w:bookmarkStart w:id="46" w:name="_Toc146020601"/>
      <w:bookmarkEnd w:id="36"/>
      <w:bookmarkEnd w:id="37"/>
      <w:bookmarkEnd w:id="38"/>
      <w:r w:rsidRPr="002E135E">
        <w:rPr>
          <w:rFonts w:ascii="Century Gothic" w:hAnsi="Century Gothic" w:cs="Arial"/>
          <w:color w:val="FF0000"/>
        </w:rPr>
        <w:t xml:space="preserve">Processing </w:t>
      </w:r>
      <w:r w:rsidR="00A16E4D" w:rsidRPr="002E135E">
        <w:rPr>
          <w:rFonts w:ascii="Century Gothic" w:hAnsi="Century Gothic" w:cs="Arial"/>
          <w:color w:val="FF0000"/>
        </w:rPr>
        <w:t>A</w:t>
      </w:r>
      <w:r w:rsidRPr="002E135E">
        <w:rPr>
          <w:rFonts w:ascii="Century Gothic" w:hAnsi="Century Gothic" w:cs="Arial"/>
          <w:color w:val="FF0000"/>
        </w:rPr>
        <w:t xml:space="preserve">ccess </w:t>
      </w:r>
      <w:r w:rsidR="00A16E4D" w:rsidRPr="002E135E">
        <w:rPr>
          <w:rFonts w:ascii="Century Gothic" w:hAnsi="Century Gothic" w:cs="Arial"/>
          <w:color w:val="FF0000"/>
        </w:rPr>
        <w:t>A</w:t>
      </w:r>
      <w:r w:rsidRPr="002E135E">
        <w:rPr>
          <w:rFonts w:ascii="Century Gothic" w:hAnsi="Century Gothic" w:cs="Arial"/>
          <w:color w:val="FF0000"/>
        </w:rPr>
        <w:t>rrangements</w:t>
      </w:r>
      <w:bookmarkEnd w:id="39"/>
      <w:bookmarkEnd w:id="40"/>
      <w:bookmarkEnd w:id="41"/>
      <w:bookmarkEnd w:id="42"/>
      <w:bookmarkEnd w:id="43"/>
      <w:bookmarkEnd w:id="44"/>
      <w:bookmarkEnd w:id="45"/>
      <w:bookmarkEnd w:id="46"/>
    </w:p>
    <w:p w14:paraId="0D632EF1" w14:textId="77777777" w:rsidR="0018276E" w:rsidRPr="002E135E" w:rsidRDefault="008F71D9" w:rsidP="00A16E4D">
      <w:pPr>
        <w:rPr>
          <w:rFonts w:ascii="Century Gothic" w:hAnsi="Century Gothic" w:cs="Arial"/>
          <w:b/>
          <w:bCs/>
          <w:color w:val="FF0000"/>
        </w:rPr>
      </w:pPr>
      <w:bookmarkStart w:id="47" w:name="_Toc449469100"/>
      <w:r w:rsidRPr="002E135E">
        <w:rPr>
          <w:rFonts w:ascii="Century Gothic" w:hAnsi="Century Gothic" w:cs="Arial"/>
          <w:b/>
          <w:bCs/>
          <w:color w:val="FF0000"/>
        </w:rPr>
        <w:t>Reasonable Adjustments</w:t>
      </w:r>
    </w:p>
    <w:p w14:paraId="310C9198" w14:textId="77777777" w:rsidR="00A16E4D" w:rsidRPr="002E135E" w:rsidRDefault="00A16E4D" w:rsidP="00D80346">
      <w:pPr>
        <w:rPr>
          <w:rFonts w:ascii="Century Gothic" w:hAnsi="Century Gothic" w:cs="Arial"/>
        </w:rPr>
      </w:pPr>
      <w:r w:rsidRPr="002E135E">
        <w:rPr>
          <w:rFonts w:ascii="Century Gothic" w:hAnsi="Century Gothic" w:cs="Arial"/>
        </w:rPr>
        <w:t>Reasonable adjustments are made for learners as part of everyday common practice to ensure access to the programme. All reasonable adjustments that are made for learners will be recorded by the centre and the relevant Awarding Organisation’s processes will be followed.</w:t>
      </w:r>
    </w:p>
    <w:p w14:paraId="4A3A36FB" w14:textId="77777777" w:rsidR="00D80346" w:rsidRPr="002E135E" w:rsidRDefault="00D80346" w:rsidP="00D80346">
      <w:pPr>
        <w:rPr>
          <w:rFonts w:ascii="Century Gothic" w:hAnsi="Century Gothic" w:cs="Arial"/>
        </w:rPr>
      </w:pPr>
    </w:p>
    <w:bookmarkEnd w:id="47"/>
    <w:p w14:paraId="365C0EF4" w14:textId="77777777" w:rsidR="00A74D02" w:rsidRPr="002E135E" w:rsidRDefault="008F71D9" w:rsidP="00A16E4D">
      <w:pPr>
        <w:rPr>
          <w:rFonts w:ascii="Century Gothic" w:hAnsi="Century Gothic" w:cs="Arial"/>
          <w:b/>
          <w:bCs/>
          <w:color w:val="FF0000"/>
        </w:rPr>
      </w:pPr>
      <w:r w:rsidRPr="002E135E">
        <w:rPr>
          <w:rFonts w:ascii="Century Gothic" w:hAnsi="Century Gothic" w:cs="Arial"/>
          <w:b/>
          <w:bCs/>
          <w:color w:val="FF0000"/>
        </w:rPr>
        <w:t>Special Consideration</w:t>
      </w:r>
    </w:p>
    <w:p w14:paraId="04B68355" w14:textId="77777777" w:rsidR="00A16E4D" w:rsidRPr="002E135E" w:rsidRDefault="00A16E4D" w:rsidP="00A16E4D">
      <w:pPr>
        <w:autoSpaceDE w:val="0"/>
        <w:autoSpaceDN w:val="0"/>
        <w:rPr>
          <w:rFonts w:ascii="Century Gothic" w:eastAsiaTheme="minorHAnsi" w:hAnsi="Century Gothic" w:cs="Arial"/>
        </w:rPr>
      </w:pPr>
      <w:r w:rsidRPr="002E135E">
        <w:rPr>
          <w:rFonts w:ascii="Century Gothic" w:hAnsi="Century Gothic" w:cs="Arial"/>
        </w:rPr>
        <w:t xml:space="preserve">A learner who is fully prepared and present for a scheduled assessment may be eligible for special consideration if: </w:t>
      </w:r>
    </w:p>
    <w:p w14:paraId="68D8FB70" w14:textId="77777777" w:rsidR="00A16E4D" w:rsidRPr="002E135E" w:rsidRDefault="00A16E4D" w:rsidP="00A16E4D">
      <w:pPr>
        <w:numPr>
          <w:ilvl w:val="0"/>
          <w:numId w:val="6"/>
        </w:numPr>
        <w:autoSpaceDE w:val="0"/>
        <w:autoSpaceDN w:val="0"/>
        <w:spacing w:before="0" w:after="0"/>
        <w:rPr>
          <w:rFonts w:ascii="Century Gothic" w:eastAsia="Times New Roman" w:hAnsi="Century Gothic" w:cs="Arial"/>
        </w:rPr>
      </w:pPr>
      <w:r w:rsidRPr="002E135E">
        <w:rPr>
          <w:rFonts w:ascii="Century Gothic" w:eastAsia="Times New Roman" w:hAnsi="Century Gothic" w:cs="Arial"/>
        </w:rPr>
        <w:t xml:space="preserve">performance in an assessment is affected by circumstances beyond the control of the learner, e.g. recent personal illness, accident, bereavement, or serious disturbance during the assessment </w:t>
      </w:r>
    </w:p>
    <w:p w14:paraId="6732F44B" w14:textId="77777777" w:rsidR="00A16E4D" w:rsidRPr="002E135E" w:rsidRDefault="00A16E4D" w:rsidP="00A16E4D">
      <w:pPr>
        <w:numPr>
          <w:ilvl w:val="0"/>
          <w:numId w:val="6"/>
        </w:numPr>
        <w:autoSpaceDE w:val="0"/>
        <w:autoSpaceDN w:val="0"/>
        <w:spacing w:before="0" w:after="0"/>
        <w:rPr>
          <w:rFonts w:ascii="Century Gothic" w:eastAsia="Times New Roman" w:hAnsi="Century Gothic" w:cs="Arial"/>
        </w:rPr>
      </w:pPr>
      <w:r w:rsidRPr="002E135E">
        <w:rPr>
          <w:rFonts w:ascii="Century Gothic" w:eastAsia="Times New Roman" w:hAnsi="Century Gothic" w:cs="Arial"/>
        </w:rPr>
        <w:t xml:space="preserve">alternative assessment arrangements which were agreed in advance of the assessment proved inappropriate or inadequate </w:t>
      </w:r>
    </w:p>
    <w:p w14:paraId="28D2BDB6" w14:textId="77777777" w:rsidR="00A16E4D" w:rsidRPr="002E135E" w:rsidRDefault="00A16E4D" w:rsidP="00A16E4D">
      <w:pPr>
        <w:numPr>
          <w:ilvl w:val="0"/>
          <w:numId w:val="6"/>
        </w:numPr>
        <w:autoSpaceDE w:val="0"/>
        <w:autoSpaceDN w:val="0"/>
        <w:spacing w:before="0" w:after="0"/>
        <w:rPr>
          <w:rFonts w:ascii="Century Gothic" w:eastAsia="Times New Roman" w:hAnsi="Century Gothic" w:cs="Arial"/>
        </w:rPr>
      </w:pPr>
      <w:r w:rsidRPr="002E135E">
        <w:rPr>
          <w:rFonts w:ascii="Century Gothic" w:eastAsia="Times New Roman" w:hAnsi="Century Gothic" w:cs="Arial"/>
        </w:rPr>
        <w:t xml:space="preserve">part of an assessment has been missed due to circumstances beyond the control of the learner </w:t>
      </w:r>
    </w:p>
    <w:p w14:paraId="37C4A823" w14:textId="77777777" w:rsidR="00A16E4D" w:rsidRPr="002E135E" w:rsidRDefault="00A16E4D" w:rsidP="00A16E4D">
      <w:pPr>
        <w:autoSpaceDE w:val="0"/>
        <w:autoSpaceDN w:val="0"/>
        <w:spacing w:before="0" w:after="0"/>
        <w:rPr>
          <w:rFonts w:ascii="Century Gothic" w:eastAsia="Times New Roman" w:hAnsi="Century Gothic" w:cs="Arial"/>
        </w:rPr>
      </w:pPr>
    </w:p>
    <w:p w14:paraId="0E732953" w14:textId="77777777" w:rsidR="00A16E4D" w:rsidRPr="002E135E" w:rsidRDefault="00A16E4D" w:rsidP="00D80346">
      <w:pPr>
        <w:rPr>
          <w:rFonts w:ascii="Century Gothic" w:hAnsi="Century Gothic" w:cs="Arial"/>
        </w:rPr>
      </w:pPr>
      <w:r w:rsidRPr="002E135E">
        <w:rPr>
          <w:rFonts w:ascii="Century Gothic" w:hAnsi="Century Gothic" w:cs="Arial"/>
        </w:rPr>
        <w:t>An application for special consideration will be made in accordance with the relevant Awarding Organisation’s policy.</w:t>
      </w:r>
    </w:p>
    <w:p w14:paraId="73050A20" w14:textId="77777777" w:rsidR="00A74D02" w:rsidRPr="002E135E" w:rsidRDefault="00A74D02" w:rsidP="00A74D02">
      <w:pPr>
        <w:spacing w:before="0" w:after="200" w:line="276" w:lineRule="auto"/>
        <w:rPr>
          <w:rFonts w:ascii="Century Gothic" w:eastAsia="Times New Roman" w:hAnsi="Century Gothic" w:cs="Arial"/>
          <w:b/>
          <w:color w:val="003399"/>
          <w:sz w:val="24"/>
          <w:szCs w:val="28"/>
        </w:rPr>
      </w:pPr>
      <w:bookmarkStart w:id="48" w:name="_Toc523473896"/>
      <w:bookmarkStart w:id="49" w:name="_Toc22304712"/>
      <w:bookmarkStart w:id="50" w:name="_Toc22487040"/>
      <w:bookmarkStart w:id="51" w:name="_Toc22487159"/>
      <w:bookmarkStart w:id="52" w:name="_Toc490083867"/>
    </w:p>
    <w:p w14:paraId="714CD620" w14:textId="77777777" w:rsidR="0083724B" w:rsidRPr="002E135E" w:rsidRDefault="0083724B">
      <w:pPr>
        <w:rPr>
          <w:rFonts w:ascii="Century Gothic" w:hAnsi="Century Gothic" w:cs="Arial"/>
        </w:rPr>
      </w:pPr>
      <w:bookmarkStart w:id="53" w:name="_GoBack"/>
      <w:bookmarkEnd w:id="25"/>
      <w:bookmarkEnd w:id="26"/>
      <w:bookmarkEnd w:id="48"/>
      <w:bookmarkEnd w:id="49"/>
      <w:bookmarkEnd w:id="50"/>
      <w:bookmarkEnd w:id="51"/>
      <w:bookmarkEnd w:id="52"/>
      <w:bookmarkEnd w:id="53"/>
    </w:p>
    <w:sectPr w:rsidR="0083724B" w:rsidRPr="002E135E" w:rsidSect="00F642BC">
      <w:footerReference w:type="default" r:id="rId13"/>
      <w:footerReference w:type="first" r:id="rId1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5C67F" w14:textId="77777777" w:rsidR="002135F4" w:rsidRDefault="002135F4" w:rsidP="00A74D02">
      <w:pPr>
        <w:spacing w:before="0" w:after="0"/>
      </w:pPr>
      <w:r>
        <w:separator/>
      </w:r>
    </w:p>
  </w:endnote>
  <w:endnote w:type="continuationSeparator" w:id="0">
    <w:p w14:paraId="22B92F02" w14:textId="77777777" w:rsidR="002135F4" w:rsidRDefault="002135F4" w:rsidP="00A74D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altName w:val="Nyala"/>
    <w:charset w:val="00"/>
    <w:family w:val="roman"/>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etica 55 Roman">
    <w:altName w:val="Arial"/>
    <w:charset w:val="00"/>
    <w:family w:val="swiss"/>
    <w:pitch w:val="variable"/>
    <w:sig w:usb0="8000002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A76EF" w14:textId="77777777" w:rsidR="00621518" w:rsidRPr="00BE1447" w:rsidRDefault="00C9537F"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2E135E">
      <w:rPr>
        <w:noProof/>
        <w:sz w:val="18"/>
        <w:szCs w:val="18"/>
      </w:rPr>
      <w:t>2</w:t>
    </w:r>
    <w:r w:rsidRPr="00BE1447">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AB9A4" w14:textId="77777777" w:rsidR="00621518" w:rsidRPr="00DD4683" w:rsidRDefault="00621518" w:rsidP="002E1E80">
    <w:pPr>
      <w:pStyle w:val="Default"/>
      <w:jc w:val="right"/>
      <w:rPr>
        <w:rFonts w:ascii="Verdana" w:hAnsi="Verdana"/>
        <w:noProof/>
        <w:sz w:val="18"/>
        <w:szCs w:val="18"/>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D02C3" w14:textId="77777777" w:rsidR="002135F4" w:rsidRDefault="002135F4" w:rsidP="00A74D02">
      <w:pPr>
        <w:spacing w:before="0" w:after="0"/>
      </w:pPr>
      <w:r>
        <w:separator/>
      </w:r>
    </w:p>
  </w:footnote>
  <w:footnote w:type="continuationSeparator" w:id="0">
    <w:p w14:paraId="42369829" w14:textId="77777777" w:rsidR="002135F4" w:rsidRDefault="002135F4" w:rsidP="00A74D0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111DB7"/>
    <w:multiLevelType w:val="hybridMultilevel"/>
    <w:tmpl w:val="51908A4A"/>
    <w:lvl w:ilvl="0" w:tplc="6E72672E">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27CF6957"/>
    <w:multiLevelType w:val="multilevel"/>
    <w:tmpl w:val="EEDC30E8"/>
    <w:lvl w:ilvl="0">
      <w:start w:val="1"/>
      <w:numFmt w:val="bullet"/>
      <w:lvlText w:val="è"/>
      <w:lvlJc w:val="left"/>
      <w:pPr>
        <w:tabs>
          <w:tab w:val="num" w:pos="720"/>
        </w:tabs>
        <w:ind w:left="720" w:hanging="360"/>
      </w:pPr>
      <w:rPr>
        <w:rFonts w:ascii="Wingdings" w:hAnsi="Wingdings"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331050"/>
    <w:multiLevelType w:val="hybridMultilevel"/>
    <w:tmpl w:val="ECE0E470"/>
    <w:lvl w:ilvl="0" w:tplc="6E72672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27E4492"/>
    <w:multiLevelType w:val="hybridMultilevel"/>
    <w:tmpl w:val="4E80E648"/>
    <w:lvl w:ilvl="0" w:tplc="CFD0E99A">
      <w:start w:val="1"/>
      <w:numFmt w:val="decimal"/>
      <w:lvlText w:val="%1."/>
      <w:lvlJc w:val="left"/>
      <w:pPr>
        <w:ind w:left="720" w:hanging="360"/>
      </w:pPr>
      <w:rPr>
        <w:rFonts w:eastAsia="Times New Roman"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156665"/>
    <w:multiLevelType w:val="multilevel"/>
    <w:tmpl w:val="01FEB8F4"/>
    <w:lvl w:ilvl="0">
      <w:start w:val="1"/>
      <w:numFmt w:val="bullet"/>
      <w:lvlText w:val="è"/>
      <w:lvlJc w:val="left"/>
      <w:pPr>
        <w:tabs>
          <w:tab w:val="num" w:pos="720"/>
        </w:tabs>
        <w:ind w:left="720" w:hanging="360"/>
      </w:pPr>
      <w:rPr>
        <w:rFonts w:ascii="Wingdings" w:hAnsi="Wingdings"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02"/>
    <w:rsid w:val="0000616A"/>
    <w:rsid w:val="00010176"/>
    <w:rsid w:val="000223CE"/>
    <w:rsid w:val="00042097"/>
    <w:rsid w:val="0007140E"/>
    <w:rsid w:val="000D6549"/>
    <w:rsid w:val="000E7E02"/>
    <w:rsid w:val="000F775D"/>
    <w:rsid w:val="0010550F"/>
    <w:rsid w:val="001432CE"/>
    <w:rsid w:val="00160520"/>
    <w:rsid w:val="0016564D"/>
    <w:rsid w:val="0018276E"/>
    <w:rsid w:val="00194706"/>
    <w:rsid w:val="001E1111"/>
    <w:rsid w:val="001F34C1"/>
    <w:rsid w:val="002135F4"/>
    <w:rsid w:val="00246E43"/>
    <w:rsid w:val="00266364"/>
    <w:rsid w:val="002E135E"/>
    <w:rsid w:val="002E141C"/>
    <w:rsid w:val="002F0CDC"/>
    <w:rsid w:val="00335206"/>
    <w:rsid w:val="00353758"/>
    <w:rsid w:val="003537E2"/>
    <w:rsid w:val="00357D45"/>
    <w:rsid w:val="00360CBE"/>
    <w:rsid w:val="003C308F"/>
    <w:rsid w:val="003C3739"/>
    <w:rsid w:val="003C4910"/>
    <w:rsid w:val="003D7A38"/>
    <w:rsid w:val="003F36BE"/>
    <w:rsid w:val="00404466"/>
    <w:rsid w:val="00413012"/>
    <w:rsid w:val="00477C0A"/>
    <w:rsid w:val="0048174B"/>
    <w:rsid w:val="00482402"/>
    <w:rsid w:val="004D029A"/>
    <w:rsid w:val="00537115"/>
    <w:rsid w:val="0054108D"/>
    <w:rsid w:val="00570176"/>
    <w:rsid w:val="00573CF8"/>
    <w:rsid w:val="005857C1"/>
    <w:rsid w:val="005B27CE"/>
    <w:rsid w:val="005E1A94"/>
    <w:rsid w:val="00602C7D"/>
    <w:rsid w:val="00602EBC"/>
    <w:rsid w:val="00604AD6"/>
    <w:rsid w:val="00621518"/>
    <w:rsid w:val="006468A0"/>
    <w:rsid w:val="006C16CA"/>
    <w:rsid w:val="00761109"/>
    <w:rsid w:val="00766295"/>
    <w:rsid w:val="00767003"/>
    <w:rsid w:val="007940EE"/>
    <w:rsid w:val="007C4B67"/>
    <w:rsid w:val="007D20AC"/>
    <w:rsid w:val="007D6923"/>
    <w:rsid w:val="008102D7"/>
    <w:rsid w:val="0083724B"/>
    <w:rsid w:val="00866F53"/>
    <w:rsid w:val="00875136"/>
    <w:rsid w:val="008774D8"/>
    <w:rsid w:val="008809C2"/>
    <w:rsid w:val="008B26D1"/>
    <w:rsid w:val="008D5262"/>
    <w:rsid w:val="008F71D9"/>
    <w:rsid w:val="00911CBB"/>
    <w:rsid w:val="00944A90"/>
    <w:rsid w:val="00962960"/>
    <w:rsid w:val="00987CF3"/>
    <w:rsid w:val="009903E4"/>
    <w:rsid w:val="009B5A0E"/>
    <w:rsid w:val="00A04B86"/>
    <w:rsid w:val="00A074DE"/>
    <w:rsid w:val="00A16E4D"/>
    <w:rsid w:val="00A50D7C"/>
    <w:rsid w:val="00A74D02"/>
    <w:rsid w:val="00A96F6F"/>
    <w:rsid w:val="00AA4154"/>
    <w:rsid w:val="00AF5ADB"/>
    <w:rsid w:val="00AF7DE2"/>
    <w:rsid w:val="00B31434"/>
    <w:rsid w:val="00B331A8"/>
    <w:rsid w:val="00B3393D"/>
    <w:rsid w:val="00B44660"/>
    <w:rsid w:val="00B955FB"/>
    <w:rsid w:val="00BA0B88"/>
    <w:rsid w:val="00BC64B5"/>
    <w:rsid w:val="00BF0359"/>
    <w:rsid w:val="00C31118"/>
    <w:rsid w:val="00C35036"/>
    <w:rsid w:val="00C35DCE"/>
    <w:rsid w:val="00C55180"/>
    <w:rsid w:val="00C64B99"/>
    <w:rsid w:val="00C73579"/>
    <w:rsid w:val="00C74EB0"/>
    <w:rsid w:val="00C9537F"/>
    <w:rsid w:val="00CA59BC"/>
    <w:rsid w:val="00CA68DB"/>
    <w:rsid w:val="00CB40B4"/>
    <w:rsid w:val="00D27463"/>
    <w:rsid w:val="00D32B7B"/>
    <w:rsid w:val="00D80346"/>
    <w:rsid w:val="00D915B9"/>
    <w:rsid w:val="00DA6D7D"/>
    <w:rsid w:val="00DE7A8D"/>
    <w:rsid w:val="00E05485"/>
    <w:rsid w:val="00E075D6"/>
    <w:rsid w:val="00E61F39"/>
    <w:rsid w:val="00E91B72"/>
    <w:rsid w:val="00EA2E35"/>
    <w:rsid w:val="00EA6A34"/>
    <w:rsid w:val="00EE1418"/>
    <w:rsid w:val="00EF110C"/>
    <w:rsid w:val="00F35E8A"/>
    <w:rsid w:val="00F3670A"/>
    <w:rsid w:val="00F419E2"/>
    <w:rsid w:val="00F41D6D"/>
    <w:rsid w:val="00F84FFC"/>
    <w:rsid w:val="00F96D55"/>
    <w:rsid w:val="00FB361C"/>
    <w:rsid w:val="00FC15DB"/>
    <w:rsid w:val="00FC5C1B"/>
    <w:rsid w:val="00FD2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02"/>
    <w:pPr>
      <w:spacing w:before="120" w:after="120" w:line="240" w:lineRule="auto"/>
    </w:pPr>
    <w:rPr>
      <w:rFonts w:ascii="Rockwell" w:eastAsiaTheme="minorEastAsia" w:hAnsi="Rockwell"/>
      <w:lang w:eastAsia="en-GB"/>
    </w:rPr>
  </w:style>
  <w:style w:type="paragraph" w:styleId="Heading1">
    <w:name w:val="heading 1"/>
    <w:basedOn w:val="Normal"/>
    <w:next w:val="Normal"/>
    <w:link w:val="Heading1Char"/>
    <w:uiPriority w:val="9"/>
    <w:qFormat/>
    <w:rsid w:val="00A74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8A0"/>
    <w:pPr>
      <w:keepNext/>
      <w:spacing w:before="240" w:after="60" w:line="276" w:lineRule="auto"/>
      <w:outlineLvl w:val="1"/>
    </w:pPr>
    <w:rPr>
      <w:rFonts w:ascii="Cambria" w:eastAsia="Times New Roman" w:hAnsi="Cambria" w:cs="Times New Roman"/>
      <w:b/>
      <w:bCs/>
      <w:i/>
      <w:iCs/>
      <w:color w:val="00000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A74D02"/>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A74D02"/>
    <w:pPr>
      <w:ind w:left="720"/>
      <w:contextualSpacing/>
    </w:pPr>
  </w:style>
  <w:style w:type="paragraph" w:customStyle="1" w:styleId="Headinglevel1">
    <w:name w:val="Heading level 1"/>
    <w:basedOn w:val="Normal"/>
    <w:qFormat/>
    <w:rsid w:val="00A74D02"/>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A74D02"/>
    <w:pPr>
      <w:tabs>
        <w:tab w:val="center" w:pos="4513"/>
        <w:tab w:val="right" w:pos="9026"/>
      </w:tabs>
      <w:spacing w:after="0"/>
    </w:pPr>
  </w:style>
  <w:style w:type="character" w:customStyle="1" w:styleId="FooterChar">
    <w:name w:val="Footer Char"/>
    <w:basedOn w:val="DefaultParagraphFont"/>
    <w:link w:val="Footer"/>
    <w:uiPriority w:val="99"/>
    <w:rsid w:val="00A74D02"/>
    <w:rPr>
      <w:rFonts w:ascii="Rockwell" w:eastAsiaTheme="minorEastAsia" w:hAnsi="Rockwell"/>
      <w:lang w:eastAsia="en-GB"/>
    </w:rPr>
  </w:style>
  <w:style w:type="table" w:styleId="TableGrid">
    <w:name w:val="Table Grid"/>
    <w:basedOn w:val="TableNormal"/>
    <w:uiPriority w:val="59"/>
    <w:rsid w:val="00A74D02"/>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74D02"/>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A74D02"/>
    <w:rPr>
      <w:color w:val="0563C1" w:themeColor="hyperlink"/>
      <w:u w:val="single"/>
    </w:rPr>
  </w:style>
  <w:style w:type="paragraph" w:styleId="NormalWeb">
    <w:name w:val="Normal (Web)"/>
    <w:basedOn w:val="Normal"/>
    <w:uiPriority w:val="99"/>
    <w:unhideWhenUsed/>
    <w:rsid w:val="00A74D02"/>
    <w:pPr>
      <w:spacing w:before="100" w:beforeAutospacing="1" w:after="100" w:afterAutospacing="1"/>
    </w:pPr>
    <w:rPr>
      <w:rFonts w:ascii="Verdana" w:eastAsia="Times New Roman" w:hAnsi="Verdana" w:cs="Times New Roman"/>
      <w:szCs w:val="24"/>
    </w:rPr>
  </w:style>
  <w:style w:type="paragraph" w:styleId="TOC2">
    <w:name w:val="toc 2"/>
    <w:basedOn w:val="Normal"/>
    <w:next w:val="Normal"/>
    <w:autoRedefine/>
    <w:uiPriority w:val="39"/>
    <w:unhideWhenUsed/>
    <w:rsid w:val="00A74D02"/>
    <w:pPr>
      <w:spacing w:after="100"/>
      <w:ind w:left="220"/>
    </w:pPr>
  </w:style>
  <w:style w:type="paragraph" w:styleId="TOC1">
    <w:name w:val="toc 1"/>
    <w:basedOn w:val="Normal"/>
    <w:next w:val="Normal"/>
    <w:autoRedefine/>
    <w:uiPriority w:val="39"/>
    <w:unhideWhenUsed/>
    <w:rsid w:val="00A74D02"/>
    <w:pPr>
      <w:spacing w:after="100"/>
    </w:pPr>
  </w:style>
  <w:style w:type="character" w:customStyle="1" w:styleId="Heading1Char">
    <w:name w:val="Heading 1 Char"/>
    <w:basedOn w:val="DefaultParagraphFont"/>
    <w:link w:val="Heading1"/>
    <w:uiPriority w:val="9"/>
    <w:rsid w:val="00A74D02"/>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A74D02"/>
    <w:pPr>
      <w:spacing w:before="480" w:line="276" w:lineRule="auto"/>
      <w:outlineLvl w:val="9"/>
    </w:pPr>
    <w:rPr>
      <w:b/>
      <w:bCs/>
      <w:sz w:val="28"/>
      <w:szCs w:val="28"/>
      <w:lang w:val="en-US" w:eastAsia="en-US"/>
    </w:rPr>
  </w:style>
  <w:style w:type="paragraph" w:styleId="Header">
    <w:name w:val="header"/>
    <w:basedOn w:val="Normal"/>
    <w:link w:val="HeaderChar"/>
    <w:uiPriority w:val="99"/>
    <w:unhideWhenUsed/>
    <w:rsid w:val="00A74D02"/>
    <w:pPr>
      <w:tabs>
        <w:tab w:val="center" w:pos="4513"/>
        <w:tab w:val="right" w:pos="9026"/>
      </w:tabs>
      <w:spacing w:before="0" w:after="0"/>
    </w:pPr>
  </w:style>
  <w:style w:type="character" w:customStyle="1" w:styleId="HeaderChar">
    <w:name w:val="Header Char"/>
    <w:basedOn w:val="DefaultParagraphFont"/>
    <w:link w:val="Header"/>
    <w:uiPriority w:val="99"/>
    <w:rsid w:val="00A74D02"/>
    <w:rPr>
      <w:rFonts w:ascii="Rockwell" w:eastAsiaTheme="minorEastAsia" w:hAnsi="Rockwell"/>
      <w:lang w:eastAsia="en-GB"/>
    </w:rPr>
  </w:style>
  <w:style w:type="character" w:styleId="FollowedHyperlink">
    <w:name w:val="FollowedHyperlink"/>
    <w:basedOn w:val="DefaultParagraphFont"/>
    <w:uiPriority w:val="99"/>
    <w:semiHidden/>
    <w:unhideWhenUsed/>
    <w:rsid w:val="00413012"/>
    <w:rPr>
      <w:color w:val="954F72" w:themeColor="followedHyperlink"/>
      <w:u w:val="single"/>
    </w:rPr>
  </w:style>
  <w:style w:type="character" w:styleId="CommentReference">
    <w:name w:val="annotation reference"/>
    <w:basedOn w:val="DefaultParagraphFont"/>
    <w:uiPriority w:val="99"/>
    <w:semiHidden/>
    <w:unhideWhenUsed/>
    <w:rsid w:val="000223CE"/>
    <w:rPr>
      <w:sz w:val="16"/>
      <w:szCs w:val="16"/>
    </w:rPr>
  </w:style>
  <w:style w:type="paragraph" w:styleId="CommentText">
    <w:name w:val="annotation text"/>
    <w:basedOn w:val="Normal"/>
    <w:link w:val="CommentTextChar"/>
    <w:uiPriority w:val="99"/>
    <w:semiHidden/>
    <w:unhideWhenUsed/>
    <w:rsid w:val="000223CE"/>
    <w:rPr>
      <w:sz w:val="20"/>
      <w:szCs w:val="20"/>
    </w:rPr>
  </w:style>
  <w:style w:type="character" w:customStyle="1" w:styleId="CommentTextChar">
    <w:name w:val="Comment Text Char"/>
    <w:basedOn w:val="DefaultParagraphFont"/>
    <w:link w:val="CommentText"/>
    <w:uiPriority w:val="99"/>
    <w:semiHidden/>
    <w:rsid w:val="000223CE"/>
    <w:rPr>
      <w:rFonts w:ascii="Rockwell" w:eastAsiaTheme="minorEastAsia" w:hAnsi="Rockwell"/>
      <w:sz w:val="20"/>
      <w:szCs w:val="20"/>
      <w:lang w:eastAsia="en-GB"/>
    </w:rPr>
  </w:style>
  <w:style w:type="paragraph" w:styleId="CommentSubject">
    <w:name w:val="annotation subject"/>
    <w:basedOn w:val="CommentText"/>
    <w:next w:val="CommentText"/>
    <w:link w:val="CommentSubjectChar"/>
    <w:uiPriority w:val="99"/>
    <w:semiHidden/>
    <w:unhideWhenUsed/>
    <w:rsid w:val="000223CE"/>
    <w:rPr>
      <w:b/>
      <w:bCs/>
    </w:rPr>
  </w:style>
  <w:style w:type="character" w:customStyle="1" w:styleId="CommentSubjectChar">
    <w:name w:val="Comment Subject Char"/>
    <w:basedOn w:val="CommentTextChar"/>
    <w:link w:val="CommentSubject"/>
    <w:uiPriority w:val="99"/>
    <w:semiHidden/>
    <w:rsid w:val="000223CE"/>
    <w:rPr>
      <w:rFonts w:ascii="Rockwell" w:eastAsiaTheme="minorEastAsia" w:hAnsi="Rockwell"/>
      <w:b/>
      <w:bCs/>
      <w:sz w:val="20"/>
      <w:szCs w:val="20"/>
      <w:lang w:eastAsia="en-GB"/>
    </w:rPr>
  </w:style>
  <w:style w:type="paragraph" w:styleId="BalloonText">
    <w:name w:val="Balloon Text"/>
    <w:basedOn w:val="Normal"/>
    <w:link w:val="BalloonTextChar"/>
    <w:uiPriority w:val="99"/>
    <w:semiHidden/>
    <w:unhideWhenUsed/>
    <w:rsid w:val="000223C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CE"/>
    <w:rPr>
      <w:rFonts w:ascii="Segoe UI" w:eastAsiaTheme="minorEastAsia" w:hAnsi="Segoe UI" w:cs="Segoe UI"/>
      <w:sz w:val="18"/>
      <w:szCs w:val="18"/>
      <w:lang w:eastAsia="en-GB"/>
    </w:rPr>
  </w:style>
  <w:style w:type="character" w:customStyle="1" w:styleId="Heading2Char">
    <w:name w:val="Heading 2 Char"/>
    <w:basedOn w:val="DefaultParagraphFont"/>
    <w:link w:val="Heading2"/>
    <w:uiPriority w:val="9"/>
    <w:rsid w:val="006468A0"/>
    <w:rPr>
      <w:rFonts w:ascii="Cambria" w:eastAsia="Times New Roman" w:hAnsi="Cambria" w:cs="Times New Roman"/>
      <w:b/>
      <w:bCs/>
      <w:i/>
      <w:iCs/>
      <w:color w:val="000000"/>
      <w:sz w:val="28"/>
      <w:szCs w:val="28"/>
    </w:rPr>
  </w:style>
  <w:style w:type="paragraph" w:customStyle="1" w:styleId="ReportTitle">
    <w:name w:val="Report Title"/>
    <w:basedOn w:val="Default"/>
    <w:next w:val="Default"/>
    <w:uiPriority w:val="99"/>
    <w:rsid w:val="00FC5C1B"/>
    <w:rPr>
      <w:rFonts w:ascii="Helvetica 55 Roman" w:eastAsia="Calibri" w:hAnsi="Helvetica 55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02"/>
    <w:pPr>
      <w:spacing w:before="120" w:after="120" w:line="240" w:lineRule="auto"/>
    </w:pPr>
    <w:rPr>
      <w:rFonts w:ascii="Rockwell" w:eastAsiaTheme="minorEastAsia" w:hAnsi="Rockwell"/>
      <w:lang w:eastAsia="en-GB"/>
    </w:rPr>
  </w:style>
  <w:style w:type="paragraph" w:styleId="Heading1">
    <w:name w:val="heading 1"/>
    <w:basedOn w:val="Normal"/>
    <w:next w:val="Normal"/>
    <w:link w:val="Heading1Char"/>
    <w:uiPriority w:val="9"/>
    <w:qFormat/>
    <w:rsid w:val="00A74D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68A0"/>
    <w:pPr>
      <w:keepNext/>
      <w:spacing w:before="240" w:after="60" w:line="276" w:lineRule="auto"/>
      <w:outlineLvl w:val="1"/>
    </w:pPr>
    <w:rPr>
      <w:rFonts w:ascii="Cambria" w:eastAsia="Times New Roman" w:hAnsi="Cambria" w:cs="Times New Roman"/>
      <w:b/>
      <w:bCs/>
      <w:i/>
      <w:iCs/>
      <w:color w:val="00000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A74D02"/>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A74D02"/>
    <w:pPr>
      <w:ind w:left="720"/>
      <w:contextualSpacing/>
    </w:pPr>
  </w:style>
  <w:style w:type="paragraph" w:customStyle="1" w:styleId="Headinglevel1">
    <w:name w:val="Heading level 1"/>
    <w:basedOn w:val="Normal"/>
    <w:qFormat/>
    <w:rsid w:val="00A74D02"/>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A74D02"/>
    <w:pPr>
      <w:tabs>
        <w:tab w:val="center" w:pos="4513"/>
        <w:tab w:val="right" w:pos="9026"/>
      </w:tabs>
      <w:spacing w:after="0"/>
    </w:pPr>
  </w:style>
  <w:style w:type="character" w:customStyle="1" w:styleId="FooterChar">
    <w:name w:val="Footer Char"/>
    <w:basedOn w:val="DefaultParagraphFont"/>
    <w:link w:val="Footer"/>
    <w:uiPriority w:val="99"/>
    <w:rsid w:val="00A74D02"/>
    <w:rPr>
      <w:rFonts w:ascii="Rockwell" w:eastAsiaTheme="minorEastAsia" w:hAnsi="Rockwell"/>
      <w:lang w:eastAsia="en-GB"/>
    </w:rPr>
  </w:style>
  <w:style w:type="table" w:styleId="TableGrid">
    <w:name w:val="Table Grid"/>
    <w:basedOn w:val="TableNormal"/>
    <w:uiPriority w:val="59"/>
    <w:rsid w:val="00A74D02"/>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74D02"/>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A74D02"/>
    <w:rPr>
      <w:color w:val="0563C1" w:themeColor="hyperlink"/>
      <w:u w:val="single"/>
    </w:rPr>
  </w:style>
  <w:style w:type="paragraph" w:styleId="NormalWeb">
    <w:name w:val="Normal (Web)"/>
    <w:basedOn w:val="Normal"/>
    <w:uiPriority w:val="99"/>
    <w:unhideWhenUsed/>
    <w:rsid w:val="00A74D02"/>
    <w:pPr>
      <w:spacing w:before="100" w:beforeAutospacing="1" w:after="100" w:afterAutospacing="1"/>
    </w:pPr>
    <w:rPr>
      <w:rFonts w:ascii="Verdana" w:eastAsia="Times New Roman" w:hAnsi="Verdana" w:cs="Times New Roman"/>
      <w:szCs w:val="24"/>
    </w:rPr>
  </w:style>
  <w:style w:type="paragraph" w:styleId="TOC2">
    <w:name w:val="toc 2"/>
    <w:basedOn w:val="Normal"/>
    <w:next w:val="Normal"/>
    <w:autoRedefine/>
    <w:uiPriority w:val="39"/>
    <w:unhideWhenUsed/>
    <w:rsid w:val="00A74D02"/>
    <w:pPr>
      <w:spacing w:after="100"/>
      <w:ind w:left="220"/>
    </w:pPr>
  </w:style>
  <w:style w:type="paragraph" w:styleId="TOC1">
    <w:name w:val="toc 1"/>
    <w:basedOn w:val="Normal"/>
    <w:next w:val="Normal"/>
    <w:autoRedefine/>
    <w:uiPriority w:val="39"/>
    <w:unhideWhenUsed/>
    <w:rsid w:val="00A74D02"/>
    <w:pPr>
      <w:spacing w:after="100"/>
    </w:pPr>
  </w:style>
  <w:style w:type="character" w:customStyle="1" w:styleId="Heading1Char">
    <w:name w:val="Heading 1 Char"/>
    <w:basedOn w:val="DefaultParagraphFont"/>
    <w:link w:val="Heading1"/>
    <w:uiPriority w:val="9"/>
    <w:rsid w:val="00A74D02"/>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A74D02"/>
    <w:pPr>
      <w:spacing w:before="480" w:line="276" w:lineRule="auto"/>
      <w:outlineLvl w:val="9"/>
    </w:pPr>
    <w:rPr>
      <w:b/>
      <w:bCs/>
      <w:sz w:val="28"/>
      <w:szCs w:val="28"/>
      <w:lang w:val="en-US" w:eastAsia="en-US"/>
    </w:rPr>
  </w:style>
  <w:style w:type="paragraph" w:styleId="Header">
    <w:name w:val="header"/>
    <w:basedOn w:val="Normal"/>
    <w:link w:val="HeaderChar"/>
    <w:uiPriority w:val="99"/>
    <w:unhideWhenUsed/>
    <w:rsid w:val="00A74D02"/>
    <w:pPr>
      <w:tabs>
        <w:tab w:val="center" w:pos="4513"/>
        <w:tab w:val="right" w:pos="9026"/>
      </w:tabs>
      <w:spacing w:before="0" w:after="0"/>
    </w:pPr>
  </w:style>
  <w:style w:type="character" w:customStyle="1" w:styleId="HeaderChar">
    <w:name w:val="Header Char"/>
    <w:basedOn w:val="DefaultParagraphFont"/>
    <w:link w:val="Header"/>
    <w:uiPriority w:val="99"/>
    <w:rsid w:val="00A74D02"/>
    <w:rPr>
      <w:rFonts w:ascii="Rockwell" w:eastAsiaTheme="minorEastAsia" w:hAnsi="Rockwell"/>
      <w:lang w:eastAsia="en-GB"/>
    </w:rPr>
  </w:style>
  <w:style w:type="character" w:styleId="FollowedHyperlink">
    <w:name w:val="FollowedHyperlink"/>
    <w:basedOn w:val="DefaultParagraphFont"/>
    <w:uiPriority w:val="99"/>
    <w:semiHidden/>
    <w:unhideWhenUsed/>
    <w:rsid w:val="00413012"/>
    <w:rPr>
      <w:color w:val="954F72" w:themeColor="followedHyperlink"/>
      <w:u w:val="single"/>
    </w:rPr>
  </w:style>
  <w:style w:type="character" w:styleId="CommentReference">
    <w:name w:val="annotation reference"/>
    <w:basedOn w:val="DefaultParagraphFont"/>
    <w:uiPriority w:val="99"/>
    <w:semiHidden/>
    <w:unhideWhenUsed/>
    <w:rsid w:val="000223CE"/>
    <w:rPr>
      <w:sz w:val="16"/>
      <w:szCs w:val="16"/>
    </w:rPr>
  </w:style>
  <w:style w:type="paragraph" w:styleId="CommentText">
    <w:name w:val="annotation text"/>
    <w:basedOn w:val="Normal"/>
    <w:link w:val="CommentTextChar"/>
    <w:uiPriority w:val="99"/>
    <w:semiHidden/>
    <w:unhideWhenUsed/>
    <w:rsid w:val="000223CE"/>
    <w:rPr>
      <w:sz w:val="20"/>
      <w:szCs w:val="20"/>
    </w:rPr>
  </w:style>
  <w:style w:type="character" w:customStyle="1" w:styleId="CommentTextChar">
    <w:name w:val="Comment Text Char"/>
    <w:basedOn w:val="DefaultParagraphFont"/>
    <w:link w:val="CommentText"/>
    <w:uiPriority w:val="99"/>
    <w:semiHidden/>
    <w:rsid w:val="000223CE"/>
    <w:rPr>
      <w:rFonts w:ascii="Rockwell" w:eastAsiaTheme="minorEastAsia" w:hAnsi="Rockwell"/>
      <w:sz w:val="20"/>
      <w:szCs w:val="20"/>
      <w:lang w:eastAsia="en-GB"/>
    </w:rPr>
  </w:style>
  <w:style w:type="paragraph" w:styleId="CommentSubject">
    <w:name w:val="annotation subject"/>
    <w:basedOn w:val="CommentText"/>
    <w:next w:val="CommentText"/>
    <w:link w:val="CommentSubjectChar"/>
    <w:uiPriority w:val="99"/>
    <w:semiHidden/>
    <w:unhideWhenUsed/>
    <w:rsid w:val="000223CE"/>
    <w:rPr>
      <w:b/>
      <w:bCs/>
    </w:rPr>
  </w:style>
  <w:style w:type="character" w:customStyle="1" w:styleId="CommentSubjectChar">
    <w:name w:val="Comment Subject Char"/>
    <w:basedOn w:val="CommentTextChar"/>
    <w:link w:val="CommentSubject"/>
    <w:uiPriority w:val="99"/>
    <w:semiHidden/>
    <w:rsid w:val="000223CE"/>
    <w:rPr>
      <w:rFonts w:ascii="Rockwell" w:eastAsiaTheme="minorEastAsia" w:hAnsi="Rockwell"/>
      <w:b/>
      <w:bCs/>
      <w:sz w:val="20"/>
      <w:szCs w:val="20"/>
      <w:lang w:eastAsia="en-GB"/>
    </w:rPr>
  </w:style>
  <w:style w:type="paragraph" w:styleId="BalloonText">
    <w:name w:val="Balloon Text"/>
    <w:basedOn w:val="Normal"/>
    <w:link w:val="BalloonTextChar"/>
    <w:uiPriority w:val="99"/>
    <w:semiHidden/>
    <w:unhideWhenUsed/>
    <w:rsid w:val="000223C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CE"/>
    <w:rPr>
      <w:rFonts w:ascii="Segoe UI" w:eastAsiaTheme="minorEastAsia" w:hAnsi="Segoe UI" w:cs="Segoe UI"/>
      <w:sz w:val="18"/>
      <w:szCs w:val="18"/>
      <w:lang w:eastAsia="en-GB"/>
    </w:rPr>
  </w:style>
  <w:style w:type="character" w:customStyle="1" w:styleId="Heading2Char">
    <w:name w:val="Heading 2 Char"/>
    <w:basedOn w:val="DefaultParagraphFont"/>
    <w:link w:val="Heading2"/>
    <w:uiPriority w:val="9"/>
    <w:rsid w:val="006468A0"/>
    <w:rPr>
      <w:rFonts w:ascii="Cambria" w:eastAsia="Times New Roman" w:hAnsi="Cambria" w:cs="Times New Roman"/>
      <w:b/>
      <w:bCs/>
      <w:i/>
      <w:iCs/>
      <w:color w:val="000000"/>
      <w:sz w:val="28"/>
      <w:szCs w:val="28"/>
    </w:rPr>
  </w:style>
  <w:style w:type="paragraph" w:customStyle="1" w:styleId="ReportTitle">
    <w:name w:val="Report Title"/>
    <w:basedOn w:val="Default"/>
    <w:next w:val="Default"/>
    <w:uiPriority w:val="99"/>
    <w:rsid w:val="00FC5C1B"/>
    <w:rPr>
      <w:rFonts w:ascii="Helvetica 55 Roman" w:eastAsia="Calibri" w:hAnsi="Helvetica 55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3004">
      <w:bodyDiv w:val="1"/>
      <w:marLeft w:val="0"/>
      <w:marRight w:val="0"/>
      <w:marTop w:val="0"/>
      <w:marBottom w:val="0"/>
      <w:divBdr>
        <w:top w:val="none" w:sz="0" w:space="0" w:color="auto"/>
        <w:left w:val="none" w:sz="0" w:space="0" w:color="auto"/>
        <w:bottom w:val="none" w:sz="0" w:space="0" w:color="auto"/>
        <w:right w:val="none" w:sz="0" w:space="0" w:color="auto"/>
      </w:divBdr>
    </w:div>
    <w:div w:id="802885194">
      <w:bodyDiv w:val="1"/>
      <w:marLeft w:val="0"/>
      <w:marRight w:val="0"/>
      <w:marTop w:val="0"/>
      <w:marBottom w:val="0"/>
      <w:divBdr>
        <w:top w:val="none" w:sz="0" w:space="0" w:color="auto"/>
        <w:left w:val="none" w:sz="0" w:space="0" w:color="auto"/>
        <w:bottom w:val="none" w:sz="0" w:space="0" w:color="auto"/>
        <w:right w:val="none" w:sz="0" w:space="0" w:color="auto"/>
      </w:divBdr>
    </w:div>
    <w:div w:id="1392540790">
      <w:bodyDiv w:val="1"/>
      <w:marLeft w:val="0"/>
      <w:marRight w:val="0"/>
      <w:marTop w:val="0"/>
      <w:marBottom w:val="0"/>
      <w:divBdr>
        <w:top w:val="none" w:sz="0" w:space="0" w:color="auto"/>
        <w:left w:val="none" w:sz="0" w:space="0" w:color="auto"/>
        <w:bottom w:val="none" w:sz="0" w:space="0" w:color="auto"/>
        <w:right w:val="none" w:sz="0" w:space="0" w:color="auto"/>
      </w:divBdr>
    </w:div>
    <w:div w:id="1440025191">
      <w:bodyDiv w:val="1"/>
      <w:marLeft w:val="0"/>
      <w:marRight w:val="0"/>
      <w:marTop w:val="0"/>
      <w:marBottom w:val="0"/>
      <w:divBdr>
        <w:top w:val="none" w:sz="0" w:space="0" w:color="auto"/>
        <w:left w:val="none" w:sz="0" w:space="0" w:color="auto"/>
        <w:bottom w:val="none" w:sz="0" w:space="0" w:color="auto"/>
        <w:right w:val="none" w:sz="0" w:space="0" w:color="auto"/>
      </w:divBdr>
    </w:div>
    <w:div w:id="1499421367">
      <w:bodyDiv w:val="1"/>
      <w:marLeft w:val="0"/>
      <w:marRight w:val="0"/>
      <w:marTop w:val="0"/>
      <w:marBottom w:val="0"/>
      <w:divBdr>
        <w:top w:val="none" w:sz="0" w:space="0" w:color="auto"/>
        <w:left w:val="none" w:sz="0" w:space="0" w:color="auto"/>
        <w:bottom w:val="none" w:sz="0" w:space="0" w:color="auto"/>
        <w:right w:val="none" w:sz="0" w:space="0" w:color="auto"/>
      </w:divBdr>
    </w:div>
    <w:div w:id="1664702374">
      <w:bodyDiv w:val="1"/>
      <w:marLeft w:val="0"/>
      <w:marRight w:val="0"/>
      <w:marTop w:val="0"/>
      <w:marBottom w:val="0"/>
      <w:divBdr>
        <w:top w:val="none" w:sz="0" w:space="0" w:color="auto"/>
        <w:left w:val="none" w:sz="0" w:space="0" w:color="auto"/>
        <w:bottom w:val="none" w:sz="0" w:space="0" w:color="auto"/>
        <w:right w:val="none" w:sz="0" w:space="0" w:color="auto"/>
      </w:divBdr>
    </w:div>
    <w:div w:id="201634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a4d16-efdc-47ec-9daf-ca0eecb9d3a0">
      <Terms xmlns="http://schemas.microsoft.com/office/infopath/2007/PartnerControls"/>
    </lcf76f155ced4ddcb4097134ff3c332f>
    <TaxCatchAll xmlns="548fe210-604f-46bb-a054-b4ede61070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EE8952E92E8428521FC12AF5B9011" ma:contentTypeVersion="17" ma:contentTypeDescription="Create a new document." ma:contentTypeScope="" ma:versionID="9c8316c0529e51e8544a2dba0e3dfd5c">
  <xsd:schema xmlns:xsd="http://www.w3.org/2001/XMLSchema" xmlns:xs="http://www.w3.org/2001/XMLSchema" xmlns:p="http://schemas.microsoft.com/office/2006/metadata/properties" xmlns:ns2="fafa4d16-efdc-47ec-9daf-ca0eecb9d3a0" xmlns:ns3="548fe210-604f-46bb-a054-b4ede6107046" targetNamespace="http://schemas.microsoft.com/office/2006/metadata/properties" ma:root="true" ma:fieldsID="0baf768514c41fb38bb9aaa28f41ce5c" ns2:_="" ns3:_="">
    <xsd:import namespace="fafa4d16-efdc-47ec-9daf-ca0eecb9d3a0"/>
    <xsd:import namespace="548fe210-604f-46bb-a054-b4ede6107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4d16-efdc-47ec-9daf-ca0eecb9d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fe210-604f-46bb-a054-b4ede61070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4067cd-8489-4812-a71b-a81f41386120}" ma:internalName="TaxCatchAll" ma:showField="CatchAllData" ma:web="548fe210-604f-46bb-a054-b4ede6107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5120F-80CC-4A7F-8A76-B51E7FD359E8}">
  <ds:schemaRefs>
    <ds:schemaRef ds:uri="http://schemas.microsoft.com/office/2006/metadata/properties"/>
    <ds:schemaRef ds:uri="http://schemas.microsoft.com/office/infopath/2007/PartnerControls"/>
    <ds:schemaRef ds:uri="fafa4d16-efdc-47ec-9daf-ca0eecb9d3a0"/>
    <ds:schemaRef ds:uri="548fe210-604f-46bb-a054-b4ede6107046"/>
  </ds:schemaRefs>
</ds:datastoreItem>
</file>

<file path=customXml/itemProps2.xml><?xml version="1.0" encoding="utf-8"?>
<ds:datastoreItem xmlns:ds="http://schemas.openxmlformats.org/officeDocument/2006/customXml" ds:itemID="{31894216-FC23-45D8-BC90-588974C84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4d16-efdc-47ec-9daf-ca0eecb9d3a0"/>
    <ds:schemaRef ds:uri="548fe210-604f-46bb-a054-b4ede6107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A9193-6837-4B3A-A57D-D4C2E4CED7EC}">
  <ds:schemaRefs>
    <ds:schemaRef ds:uri="http://schemas.microsoft.com/sharepoint/v3/contenttype/forms"/>
  </ds:schemaRefs>
</ds:datastoreItem>
</file>

<file path=customXml/itemProps4.xml><?xml version="1.0" encoding="utf-8"?>
<ds:datastoreItem xmlns:ds="http://schemas.openxmlformats.org/officeDocument/2006/customXml" ds:itemID="{EB192974-4127-4B94-A6C6-C41CB22C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Rundle (nee Beard)</dc:creator>
  <cp:lastModifiedBy>rachel</cp:lastModifiedBy>
  <cp:revision>2</cp:revision>
  <dcterms:created xsi:type="dcterms:W3CDTF">2025-10-03T14:34:00Z</dcterms:created>
  <dcterms:modified xsi:type="dcterms:W3CDTF">2025-10-03T14:34:00Z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0x0101002B6EE8952E92E8428521FC12AF5B9011</vt:lpwstr>
  </property>
</Properties>
</file>